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E72FD" w14:textId="77777777" w:rsidR="00192192" w:rsidRPr="00CE3E7F" w:rsidRDefault="00192192" w:rsidP="00192192">
      <w:pPr>
        <w:ind w:right="6"/>
        <w:jc w:val="right"/>
        <w:rPr>
          <w:rFonts w:ascii="Avenir" w:hAnsi="Avenir" w:cs="Calibri"/>
          <w:b/>
          <w:bCs/>
          <w:color w:val="4F2683"/>
          <w:sz w:val="22"/>
          <w:szCs w:val="22"/>
        </w:rPr>
      </w:pPr>
      <w:r w:rsidRPr="00192192">
        <w:rPr>
          <w:rFonts w:ascii="Avenir" w:hAnsi="Avenir" w:cs="Calibri"/>
          <w:b/>
          <w:bCs/>
          <w:color w:val="000000" w:themeColor="text1"/>
          <w:sz w:val="22"/>
          <w:szCs w:val="22"/>
        </w:rPr>
        <w:t>Department of Statistical and Actuarial Sciences</w:t>
      </w:r>
      <w:r w:rsidRPr="00192192">
        <w:rPr>
          <w:rFonts w:ascii="Avenir" w:hAnsi="Avenir" w:cs="Calibri"/>
          <w:b/>
          <w:bCs/>
          <w:color w:val="4F2683"/>
          <w:sz w:val="22"/>
          <w:szCs w:val="22"/>
          <w:highlight w:val="yellow"/>
        </w:rPr>
        <w:fldChar w:fldCharType="begin"/>
      </w:r>
      <w:r w:rsidRPr="00192192">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00192192">
        <w:rPr>
          <w:rFonts w:ascii="Avenir" w:hAnsi="Avenir" w:cs="Calibri"/>
          <w:b/>
          <w:bCs/>
          <w:color w:val="4F2683"/>
          <w:sz w:val="22"/>
          <w:szCs w:val="22"/>
          <w:highlight w:val="yellow"/>
        </w:rPr>
        <w:fldChar w:fldCharType="end"/>
      </w:r>
    </w:p>
    <w:p w14:paraId="3F8A190C" w14:textId="41B10AAE" w:rsidR="00192192" w:rsidRPr="00192192" w:rsidRDefault="00CE3E7F" w:rsidP="00192192">
      <w:pPr>
        <w:ind w:right="6"/>
        <w:rPr>
          <w:rFonts w:ascii="Avenir" w:hAnsi="Avenir" w:cs="Calibri"/>
          <w:b/>
          <w:bCs/>
          <w:color w:val="000000" w:themeColor="text1"/>
          <w:sz w:val="22"/>
          <w:szCs w:val="22"/>
          <w:highlight w:val="yellow"/>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7C7818C5">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3B96F" w14:textId="75DFBCE4" w:rsidR="00CE3E7F" w:rsidRPr="00CE3E7F" w:rsidRDefault="00192192" w:rsidP="00192192">
      <w:pPr>
        <w:ind w:right="6"/>
        <w:jc w:val="right"/>
        <w:rPr>
          <w:rFonts w:ascii="Avenir" w:hAnsi="Avenir" w:cs="Calibri"/>
          <w:b/>
          <w:bCs/>
          <w:color w:val="4F2683"/>
          <w:sz w:val="22"/>
          <w:szCs w:val="22"/>
        </w:rPr>
      </w:pPr>
      <w:r w:rsidRPr="00192192">
        <w:rPr>
          <w:rFonts w:ascii="Avenir" w:hAnsi="Avenir" w:cs="Calibri"/>
          <w:b/>
          <w:bCs/>
          <w:color w:val="000000" w:themeColor="text1"/>
          <w:sz w:val="22"/>
          <w:szCs w:val="22"/>
        </w:rPr>
        <w:t xml:space="preserve"> </w:t>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449A78CA" w14:textId="77777777" w:rsidR="00192192" w:rsidRPr="00192192" w:rsidRDefault="00597639" w:rsidP="00192192">
      <w:pPr>
        <w:tabs>
          <w:tab w:val="center" w:pos="5040"/>
        </w:tabs>
        <w:rPr>
          <w:b/>
          <w:sz w:val="36"/>
          <w:szCs w:val="36"/>
        </w:rPr>
      </w:pPr>
      <w:r w:rsidRPr="00597639">
        <w:rPr>
          <w:b/>
          <w:sz w:val="36"/>
          <w:szCs w:val="36"/>
        </w:rPr>
        <w:tab/>
      </w:r>
    </w:p>
    <w:p w14:paraId="329E75B6" w14:textId="57186B9F" w:rsidR="003F0C6D" w:rsidRPr="00597639" w:rsidRDefault="00192192" w:rsidP="00192192">
      <w:pPr>
        <w:tabs>
          <w:tab w:val="center" w:pos="5040"/>
        </w:tabs>
        <w:jc w:val="center"/>
        <w:rPr>
          <w:b/>
          <w:sz w:val="36"/>
          <w:szCs w:val="36"/>
        </w:rPr>
      </w:pPr>
      <w:r w:rsidRPr="00192192">
        <w:rPr>
          <w:b/>
          <w:bCs/>
          <w:sz w:val="36"/>
          <w:szCs w:val="36"/>
        </w:rPr>
        <w:t>Advanced Mathematics for Statistical Applications, Statistical Sciences 2503B, Section 001</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55B7A1A3" w14:textId="33CC91E8" w:rsidR="00192192" w:rsidRPr="00192192" w:rsidRDefault="003F0C6D" w:rsidP="00192192">
      <w:pPr>
        <w:rPr>
          <w:bCs/>
        </w:rPr>
      </w:pPr>
      <w:r w:rsidRPr="00CF2B11">
        <w:rPr>
          <w:b/>
          <w:bCs/>
        </w:rPr>
        <w:t>Course Information</w:t>
      </w:r>
      <w:r>
        <w:rPr>
          <w:bCs/>
        </w:rPr>
        <w:t xml:space="preserve"> </w:t>
      </w:r>
    </w:p>
    <w:p w14:paraId="00C0D032" w14:textId="43C45329" w:rsidR="00192192" w:rsidRPr="00192192" w:rsidRDefault="00192192" w:rsidP="00192192">
      <w:pPr>
        <w:rPr>
          <w:bCs/>
        </w:rPr>
      </w:pPr>
      <w:r w:rsidRPr="00192192">
        <w:rPr>
          <w:bCs/>
        </w:rPr>
        <w:t xml:space="preserve">• Course name: SS2503B, Advanced Mathematics for Statistical Applications. </w:t>
      </w:r>
    </w:p>
    <w:p w14:paraId="7FFFC9CE" w14:textId="77777777" w:rsidR="00192192" w:rsidRPr="00192192" w:rsidRDefault="00192192" w:rsidP="00192192">
      <w:pPr>
        <w:rPr>
          <w:bCs/>
        </w:rPr>
      </w:pPr>
      <w:r w:rsidRPr="00192192">
        <w:rPr>
          <w:bCs/>
        </w:rPr>
        <w:t xml:space="preserve">• Lecture hours: Mon, Wed, Fri, 1:30-2:30 pm </w:t>
      </w:r>
    </w:p>
    <w:p w14:paraId="555B3488" w14:textId="12EDD428" w:rsidR="00CA7E7D" w:rsidRPr="00192192" w:rsidRDefault="00192192" w:rsidP="00192192">
      <w:pPr>
        <w:rPr>
          <w:bCs/>
        </w:rPr>
      </w:pPr>
      <w:r w:rsidRPr="00192192">
        <w:rPr>
          <w:bCs/>
        </w:rPr>
        <w:t>• Lecture delivery mode: In person, NSC-7</w:t>
      </w:r>
    </w:p>
    <w:p w14:paraId="6EC1B2D4" w14:textId="77777777" w:rsidR="00192192" w:rsidRDefault="00192192" w:rsidP="00CF2B11">
      <w:pPr>
        <w:rPr>
          <w:b/>
          <w:bCs/>
        </w:rPr>
      </w:pPr>
    </w:p>
    <w:p w14:paraId="76A152B8" w14:textId="5DB72C1A" w:rsidR="006D28B8" w:rsidRDefault="00681697" w:rsidP="00192192">
      <w:pPr>
        <w:rPr>
          <w:bCs/>
          <w:color w:val="FF0000"/>
        </w:rPr>
      </w:pPr>
      <w:r>
        <w:rPr>
          <w:b/>
          <w:bCs/>
        </w:rPr>
        <w:t xml:space="preserve">List of </w:t>
      </w:r>
      <w:r w:rsidR="003F0C6D" w:rsidRPr="003F0C6D">
        <w:rPr>
          <w:b/>
          <w:bCs/>
        </w:rPr>
        <w:t>Prerequisite</w:t>
      </w:r>
      <w:r>
        <w:rPr>
          <w:b/>
          <w:bCs/>
        </w:rPr>
        <w:t xml:space="preserve">s </w:t>
      </w:r>
    </w:p>
    <w:p w14:paraId="12222231" w14:textId="6132AB6F" w:rsidR="00192192" w:rsidRDefault="00192192" w:rsidP="00192192">
      <w:pPr>
        <w:rPr>
          <w:bCs/>
        </w:rPr>
      </w:pPr>
      <w:r w:rsidRPr="00192192">
        <w:rPr>
          <w:bCs/>
        </w:rPr>
        <w:t>Calculus 2402A/B or (Calculus 2502A/B and Calculus 2503A/B) or (Calculus 2502A/B and Mathematics 2123A/B), Mathematics 1600A/B (or the former Linear Algebra 1600A/B) or Applied Mathematics 1411A/B, Statistical Sciences 2857A/B (or the former Statistical Sciences 2657A), or Economics 2122A/B. In each course a minimum mark of 60% is required.</w:t>
      </w:r>
    </w:p>
    <w:p w14:paraId="0E45FEE5" w14:textId="77777777" w:rsidR="00CA7E7D" w:rsidRDefault="00CA7E7D" w:rsidP="00CF2B11">
      <w:pPr>
        <w:rPr>
          <w:bCs/>
        </w:rPr>
      </w:pPr>
    </w:p>
    <w:p w14:paraId="69262065" w14:textId="5094C87A" w:rsidR="00CF2B11" w:rsidRDefault="00CF2B11" w:rsidP="00CF2B11">
      <w:pPr>
        <w:rPr>
          <w:bCs/>
        </w:rPr>
      </w:pPr>
      <w:r w:rsidRPr="00CF2B11">
        <w:rPr>
          <w:bCs/>
        </w:rPr>
        <w:t>Unless you have either the requisites for this course or written special permission from your</w:t>
      </w:r>
      <w:r w:rsidR="00192192">
        <w:rPr>
          <w:bCs/>
        </w:rPr>
        <w:t xml:space="preserve"> Dean </w:t>
      </w:r>
      <w:r w:rsidRPr="00CF2B11">
        <w:rPr>
          <w:bCs/>
        </w:rPr>
        <w:t xml:space="preserve">to enroll in it, you may be removed from this course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in the event that you are dropped from a course for failing to have the </w:t>
      </w:r>
      <w:r w:rsidR="003F0C6D">
        <w:rPr>
          <w:bCs/>
        </w:rPr>
        <w:t>necessary prerequisites.</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5F15E187" w14:textId="5A9CBC61" w:rsidR="00CF2B11" w:rsidRPr="00E328FB" w:rsidRDefault="00CF2B11" w:rsidP="003F0C6D">
      <w:pPr>
        <w:rPr>
          <w:bCs/>
          <w:color w:val="007F00"/>
        </w:rPr>
      </w:pPr>
    </w:p>
    <w:p w14:paraId="6579E955" w14:textId="673221A3" w:rsidR="003F0C6D" w:rsidRDefault="003F0C6D" w:rsidP="003F0C6D">
      <w:pPr>
        <w:rPr>
          <w:bCs/>
        </w:rPr>
      </w:pPr>
    </w:p>
    <w:tbl>
      <w:tblPr>
        <w:tblW w:w="86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tblGrid>
      <w:tr w:rsidR="00192192" w:rsidRPr="00597639" w14:paraId="2A60D15D" w14:textId="77777777" w:rsidTr="00192192">
        <w:trPr>
          <w:trHeight w:val="315"/>
        </w:trPr>
        <w:tc>
          <w:tcPr>
            <w:tcW w:w="3307" w:type="dxa"/>
            <w:noWrap/>
            <w:vAlign w:val="center"/>
            <w:hideMark/>
          </w:tcPr>
          <w:p w14:paraId="7D2C84A9" w14:textId="77777777" w:rsidR="00192192" w:rsidRPr="00597639" w:rsidRDefault="00192192" w:rsidP="00597639">
            <w:pP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14:paraId="2FEA44D3" w14:textId="77777777" w:rsidR="00192192" w:rsidRPr="00597639" w:rsidRDefault="00192192" w:rsidP="00597639">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495F2F30" w14:textId="77777777" w:rsidR="00192192" w:rsidRPr="00597639" w:rsidRDefault="00192192" w:rsidP="00597639">
            <w:pPr>
              <w:rPr>
                <w:rFonts w:cstheme="minorHAnsi"/>
                <w:b/>
                <w:bCs/>
                <w:color w:val="000000"/>
                <w:lang w:eastAsia="en-CA"/>
              </w:rPr>
            </w:pPr>
            <w:r w:rsidRPr="00597639">
              <w:rPr>
                <w:rFonts w:cstheme="minorHAnsi"/>
                <w:b/>
                <w:bCs/>
                <w:color w:val="000000"/>
                <w:lang w:eastAsia="en-CA"/>
              </w:rPr>
              <w:t>Office</w:t>
            </w:r>
          </w:p>
        </w:tc>
        <w:tc>
          <w:tcPr>
            <w:tcW w:w="1530" w:type="dxa"/>
            <w:noWrap/>
            <w:vAlign w:val="center"/>
            <w:hideMark/>
          </w:tcPr>
          <w:p w14:paraId="5F5065DE" w14:textId="77777777" w:rsidR="00192192" w:rsidRPr="00597639" w:rsidRDefault="00192192" w:rsidP="00597639">
            <w:pPr>
              <w:rPr>
                <w:rFonts w:cstheme="minorHAnsi"/>
                <w:b/>
                <w:bCs/>
                <w:color w:val="000000"/>
                <w:lang w:eastAsia="en-CA"/>
              </w:rPr>
            </w:pPr>
            <w:r w:rsidRPr="00597639">
              <w:rPr>
                <w:rFonts w:cstheme="minorHAnsi"/>
                <w:b/>
                <w:bCs/>
                <w:color w:val="000000"/>
                <w:lang w:eastAsia="en-CA"/>
              </w:rPr>
              <w:t>Office Hours</w:t>
            </w:r>
          </w:p>
        </w:tc>
      </w:tr>
      <w:tr w:rsidR="00192192" w:rsidRPr="00597639" w14:paraId="4BF0A8BD" w14:textId="77777777" w:rsidTr="00192192">
        <w:trPr>
          <w:trHeight w:val="315"/>
        </w:trPr>
        <w:tc>
          <w:tcPr>
            <w:tcW w:w="3307" w:type="dxa"/>
            <w:noWrap/>
            <w:vAlign w:val="bottom"/>
            <w:hideMark/>
          </w:tcPr>
          <w:p w14:paraId="192A164A" w14:textId="4322C4A0" w:rsidR="00192192" w:rsidRPr="00192192" w:rsidRDefault="00192192" w:rsidP="00192192">
            <w:pPr>
              <w:pStyle w:val="Default"/>
              <w:rPr>
                <w:sz w:val="23"/>
                <w:szCs w:val="23"/>
              </w:rPr>
            </w:pPr>
            <w:r>
              <w:rPr>
                <w:sz w:val="23"/>
                <w:szCs w:val="23"/>
              </w:rPr>
              <w:t xml:space="preserve">Dr. Mohsen Mollahajiaghaei </w:t>
            </w:r>
          </w:p>
        </w:tc>
        <w:tc>
          <w:tcPr>
            <w:tcW w:w="2250" w:type="dxa"/>
            <w:noWrap/>
            <w:vAlign w:val="bottom"/>
            <w:hideMark/>
          </w:tcPr>
          <w:p w14:paraId="7EA5C61B" w14:textId="73A26B99" w:rsidR="00192192" w:rsidRPr="00597639" w:rsidRDefault="00192192">
            <w:pPr>
              <w:rPr>
                <w:rFonts w:cstheme="minorHAnsi"/>
                <w:color w:val="000000"/>
                <w:lang w:eastAsia="en-CA"/>
              </w:rPr>
            </w:pPr>
            <w:r>
              <w:rPr>
                <w:rFonts w:cstheme="minorHAnsi"/>
                <w:color w:val="000000"/>
                <w:lang w:eastAsia="en-CA"/>
              </w:rPr>
              <w:t>mmollaha@uwo.ca</w:t>
            </w:r>
          </w:p>
        </w:tc>
        <w:tc>
          <w:tcPr>
            <w:tcW w:w="1530" w:type="dxa"/>
            <w:noWrap/>
            <w:vAlign w:val="bottom"/>
            <w:hideMark/>
          </w:tcPr>
          <w:p w14:paraId="38AE06F9" w14:textId="4BC33C6E" w:rsidR="00192192" w:rsidRPr="00597639" w:rsidRDefault="00192192">
            <w:pPr>
              <w:rPr>
                <w:rFonts w:cstheme="minorHAnsi"/>
                <w:color w:val="000000"/>
                <w:lang w:eastAsia="en-CA"/>
              </w:rPr>
            </w:pPr>
            <w:r>
              <w:rPr>
                <w:rFonts w:cstheme="minorHAnsi"/>
                <w:color w:val="000000"/>
                <w:lang w:eastAsia="en-CA"/>
              </w:rPr>
              <w:t>MC128</w:t>
            </w:r>
          </w:p>
        </w:tc>
        <w:tc>
          <w:tcPr>
            <w:tcW w:w="1530" w:type="dxa"/>
            <w:noWrap/>
            <w:vAlign w:val="bottom"/>
            <w:hideMark/>
          </w:tcPr>
          <w:p w14:paraId="64D49F50" w14:textId="78FA814E" w:rsidR="00192192" w:rsidRPr="00597639" w:rsidRDefault="00192192">
            <w:pPr>
              <w:rPr>
                <w:rFonts w:cstheme="minorHAnsi"/>
                <w:color w:val="000000"/>
                <w:lang w:eastAsia="en-CA"/>
              </w:rPr>
            </w:pPr>
            <w:r>
              <w:rPr>
                <w:rFonts w:cstheme="minorHAnsi"/>
                <w:color w:val="000000"/>
                <w:lang w:eastAsia="en-CA"/>
              </w:rPr>
              <w:t>TBA</w:t>
            </w:r>
          </w:p>
        </w:tc>
      </w:tr>
    </w:tbl>
    <w:p w14:paraId="0941487A" w14:textId="28863721" w:rsidR="00597639" w:rsidRPr="00192192" w:rsidRDefault="00597639" w:rsidP="003F0C6D">
      <w:pPr>
        <w:rPr>
          <w:bCs/>
        </w:rPr>
      </w:pPr>
    </w:p>
    <w:p w14:paraId="50EA0CE8" w14:textId="081F6506" w:rsidR="00192192" w:rsidRPr="00192192" w:rsidRDefault="00192192" w:rsidP="00192192">
      <w:pPr>
        <w:rPr>
          <w:bCs/>
        </w:rPr>
      </w:pPr>
      <w:r w:rsidRPr="00192192">
        <w:rPr>
          <w:bCs/>
        </w:rPr>
        <w:t>Any email should be sent from the university account (@uwo.ca) and contain “</w:t>
      </w:r>
      <w:r w:rsidRPr="00192192">
        <w:rPr>
          <w:b/>
          <w:bCs/>
        </w:rPr>
        <w:t>Stat2503B</w:t>
      </w:r>
      <w:r w:rsidRPr="00192192">
        <w:rPr>
          <w:bCs/>
        </w:rPr>
        <w:t xml:space="preserve">” in </w:t>
      </w:r>
      <w:r w:rsidRPr="00192192">
        <w:rPr>
          <w:b/>
          <w:bCs/>
        </w:rPr>
        <w:t xml:space="preserve">the subject line. </w:t>
      </w:r>
      <w:r w:rsidRPr="00192192">
        <w:rPr>
          <w:bCs/>
        </w:rPr>
        <w:t>Any email without this, and/or any email sent from other than a UWO email address, risks being directed to spam, deleted unread, or otherwise going missing.</w:t>
      </w:r>
    </w:p>
    <w:p w14:paraId="51F2FA22" w14:textId="77777777" w:rsidR="00192192" w:rsidRDefault="00192192" w:rsidP="00192192">
      <w:pPr>
        <w:rPr>
          <w:bCs/>
          <w:color w:val="FF0000"/>
        </w:rPr>
      </w:pPr>
    </w:p>
    <w:p w14:paraId="2C2C2FE5" w14:textId="77777777" w:rsidR="00326122" w:rsidRPr="00A84D9F" w:rsidRDefault="00326122" w:rsidP="003F0C6D">
      <w:pPr>
        <w:rPr>
          <w:bCs/>
          <w:color w:val="385623" w:themeColor="accent6" w:themeShade="80"/>
        </w:rPr>
      </w:pPr>
    </w:p>
    <w:p w14:paraId="0AB3BB96" w14:textId="77777777" w:rsidR="001D554E" w:rsidRDefault="001D554E" w:rsidP="00845B86">
      <w:pPr>
        <w:rPr>
          <w:b/>
          <w:bCs/>
          <w:sz w:val="36"/>
          <w:szCs w:val="36"/>
        </w:rPr>
      </w:pPr>
    </w:p>
    <w:p w14:paraId="1A82FC96" w14:textId="77777777" w:rsidR="006E2716" w:rsidRDefault="006E2716">
      <w:pPr>
        <w:rPr>
          <w:b/>
          <w:bCs/>
          <w:sz w:val="36"/>
          <w:szCs w:val="36"/>
        </w:rPr>
      </w:pPr>
      <w:r>
        <w:rPr>
          <w:b/>
          <w:bCs/>
          <w:sz w:val="36"/>
          <w:szCs w:val="36"/>
        </w:rPr>
        <w:br w:type="page"/>
      </w:r>
    </w:p>
    <w:p w14:paraId="02218B5F" w14:textId="559D9C53" w:rsidR="00B451DA" w:rsidRDefault="00B451DA" w:rsidP="00845B86">
      <w:pPr>
        <w:rPr>
          <w:b/>
          <w:bCs/>
        </w:rPr>
      </w:pPr>
      <w:r w:rsidRPr="008C038D">
        <w:rPr>
          <w:b/>
          <w:bCs/>
          <w:sz w:val="36"/>
          <w:szCs w:val="36"/>
        </w:rPr>
        <w:lastRenderedPageBreak/>
        <w:t xml:space="preserve">3. Course </w:t>
      </w:r>
      <w:r>
        <w:rPr>
          <w:b/>
          <w:bCs/>
          <w:sz w:val="36"/>
          <w:szCs w:val="36"/>
        </w:rPr>
        <w:t>Syllabus, Schedule, Delivery Mode</w:t>
      </w:r>
    </w:p>
    <w:p w14:paraId="25A0FA19" w14:textId="5A59B76A" w:rsidR="00B96E71" w:rsidRDefault="00CF2B11" w:rsidP="00192192">
      <w:pPr>
        <w:rPr>
          <w:bCs/>
          <w:color w:val="007F00"/>
        </w:rPr>
      </w:pPr>
      <w:r w:rsidRPr="00845B86">
        <w:rPr>
          <w:b/>
          <w:bCs/>
        </w:rPr>
        <w:br/>
      </w:r>
      <w:r w:rsidR="00192192" w:rsidRPr="00192192">
        <w:rPr>
          <w:bCs/>
        </w:rPr>
        <w:t>This course will consist of two parts. The first part (approximately nine weeks) is on differential equations. It will constitute an introduction to first-order ordinary differential equations (ODEs) and related topics, with emphasis placed on applications. Specific topics include linear and separable differential equations, qualitative analysis and stability, modeling deterministic systems (in particular population growth and savings/investment), and linear systems of ODEs. We will also discuss second-order ODEs, Laplace transforms and moment generating functions. The second part of the course (approximately four weeks) will constitute an introduction to discrete-time Markov chains. Specific topics include the Chapman-Kolmogorov equations, classification of states, stationary distributions and ergodic theorems. If time is permitted, continuous-time Markov chains and the Poisson process will be discussed.</w:t>
      </w:r>
    </w:p>
    <w:p w14:paraId="2FD4BC11" w14:textId="77777777" w:rsidR="00192192" w:rsidRDefault="00192192" w:rsidP="00192192">
      <w:pPr>
        <w:rPr>
          <w:bCs/>
          <w:color w:val="0432FF"/>
        </w:rPr>
      </w:pPr>
    </w:p>
    <w:p w14:paraId="5B97A031" w14:textId="0F3FAA73" w:rsidR="00C70D02" w:rsidRPr="00B96E71" w:rsidRDefault="00C70D02" w:rsidP="00B96E71">
      <w:pPr>
        <w:ind w:left="284"/>
        <w:rPr>
          <w:bCs/>
          <w:color w:val="000000" w:themeColor="text1"/>
        </w:rPr>
      </w:pPr>
      <w:r w:rsidRPr="00B96E71">
        <w:rPr>
          <w:bCs/>
          <w:color w:val="000000" w:themeColor="text1"/>
        </w:rPr>
        <w:t xml:space="preserve">Classes begin: January </w:t>
      </w:r>
      <w:r w:rsidR="00E541E0">
        <w:rPr>
          <w:bCs/>
          <w:color w:val="000000" w:themeColor="text1"/>
        </w:rPr>
        <w:t>6</w:t>
      </w:r>
      <w:r w:rsidR="00C62B7E">
        <w:rPr>
          <w:bCs/>
          <w:color w:val="000000" w:themeColor="text1"/>
        </w:rPr>
        <w:t>, 202</w:t>
      </w:r>
      <w:r w:rsidR="00E541E0">
        <w:rPr>
          <w:bCs/>
          <w:color w:val="000000" w:themeColor="text1"/>
        </w:rPr>
        <w:t>5</w:t>
      </w:r>
    </w:p>
    <w:p w14:paraId="0D5FBE6C" w14:textId="64C4B577" w:rsidR="00C70D02" w:rsidRPr="00B96E71" w:rsidRDefault="00E541E0" w:rsidP="63C564B7">
      <w:pPr>
        <w:ind w:left="284"/>
        <w:rPr>
          <w:color w:val="000000" w:themeColor="text1"/>
        </w:rPr>
      </w:pPr>
      <w:r w:rsidRPr="63C564B7">
        <w:rPr>
          <w:color w:val="000000" w:themeColor="text1"/>
        </w:rPr>
        <w:t xml:space="preserve">Spring Reading Week: </w:t>
      </w:r>
      <w:r w:rsidR="00C70D02" w:rsidRPr="63C564B7">
        <w:rPr>
          <w:color w:val="000000" w:themeColor="text1"/>
        </w:rPr>
        <w:t>February 1</w:t>
      </w:r>
      <w:r w:rsidR="1EE5917F" w:rsidRPr="63C564B7">
        <w:rPr>
          <w:color w:val="000000" w:themeColor="text1"/>
        </w:rPr>
        <w:t>5</w:t>
      </w:r>
      <w:r w:rsidR="00E925CE" w:rsidRPr="63C564B7">
        <w:rPr>
          <w:color w:val="000000" w:themeColor="text1"/>
        </w:rPr>
        <w:t xml:space="preserve"> </w:t>
      </w:r>
      <w:r w:rsidR="00C62B7E" w:rsidRPr="63C564B7">
        <w:rPr>
          <w:color w:val="000000" w:themeColor="text1"/>
        </w:rPr>
        <w:t>–</w:t>
      </w:r>
      <w:r w:rsidR="00E925CE" w:rsidRPr="63C564B7">
        <w:rPr>
          <w:color w:val="000000" w:themeColor="text1"/>
        </w:rPr>
        <w:t xml:space="preserve"> </w:t>
      </w:r>
      <w:r w:rsidRPr="63C564B7">
        <w:rPr>
          <w:color w:val="000000" w:themeColor="text1"/>
        </w:rPr>
        <w:t>2</w:t>
      </w:r>
      <w:r w:rsidR="79C465B6" w:rsidRPr="63C564B7">
        <w:rPr>
          <w:color w:val="000000" w:themeColor="text1"/>
        </w:rPr>
        <w:t>3</w:t>
      </w:r>
      <w:r w:rsidR="00C62B7E" w:rsidRPr="63C564B7">
        <w:rPr>
          <w:color w:val="000000" w:themeColor="text1"/>
        </w:rPr>
        <w:t>, 202</w:t>
      </w:r>
      <w:r w:rsidRPr="63C564B7">
        <w:rPr>
          <w:color w:val="000000" w:themeColor="text1"/>
        </w:rPr>
        <w:t>5</w:t>
      </w:r>
    </w:p>
    <w:p w14:paraId="4F0EE24C" w14:textId="187AC231" w:rsidR="00C70D02" w:rsidRDefault="00C70D02" w:rsidP="00B96E71">
      <w:pPr>
        <w:ind w:left="284"/>
        <w:rPr>
          <w:bCs/>
          <w:color w:val="000000" w:themeColor="text1"/>
        </w:rPr>
      </w:pPr>
      <w:r w:rsidRPr="00B96E71">
        <w:rPr>
          <w:bCs/>
          <w:color w:val="000000" w:themeColor="text1"/>
        </w:rPr>
        <w:t xml:space="preserve">Classes end: April </w:t>
      </w:r>
      <w:r w:rsidR="00E541E0">
        <w:rPr>
          <w:bCs/>
          <w:color w:val="000000" w:themeColor="text1"/>
        </w:rPr>
        <w:t>4</w:t>
      </w:r>
      <w:r w:rsidR="00C62B7E">
        <w:rPr>
          <w:bCs/>
          <w:color w:val="000000" w:themeColor="text1"/>
        </w:rPr>
        <w:t>, 202</w:t>
      </w:r>
      <w:r w:rsidR="00E541E0">
        <w:rPr>
          <w:bCs/>
          <w:color w:val="000000" w:themeColor="text1"/>
        </w:rPr>
        <w:t>5</w:t>
      </w:r>
    </w:p>
    <w:p w14:paraId="7546B1CA" w14:textId="38787F0F" w:rsidR="00E925CE" w:rsidRPr="00B96E71" w:rsidRDefault="00E925CE" w:rsidP="00B96E71">
      <w:pPr>
        <w:ind w:left="284"/>
        <w:rPr>
          <w:bCs/>
          <w:color w:val="000000" w:themeColor="text1"/>
        </w:rPr>
      </w:pPr>
      <w:r>
        <w:rPr>
          <w:bCs/>
          <w:color w:val="000000" w:themeColor="text1"/>
        </w:rPr>
        <w:t xml:space="preserve">Exam period: April </w:t>
      </w:r>
      <w:r w:rsidR="00E541E0">
        <w:rPr>
          <w:bCs/>
          <w:color w:val="000000" w:themeColor="text1"/>
        </w:rPr>
        <w:t>7</w:t>
      </w:r>
      <w:r w:rsidR="00E563ED">
        <w:rPr>
          <w:bCs/>
          <w:color w:val="000000" w:themeColor="text1"/>
        </w:rPr>
        <w:t xml:space="preserve"> – 30, 202</w:t>
      </w:r>
      <w:r w:rsidR="00E541E0">
        <w:rPr>
          <w:bCs/>
          <w:color w:val="000000" w:themeColor="text1"/>
        </w:rPr>
        <w:t>5</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02E3F6FC" w14:textId="77777777" w:rsidR="00192192" w:rsidRPr="00192192" w:rsidRDefault="00CF2B11" w:rsidP="00192192">
      <w:pPr>
        <w:rPr>
          <w:bCs/>
        </w:rPr>
      </w:pPr>
      <w:r w:rsidRPr="00CF2B11">
        <w:rPr>
          <w:bCs/>
        </w:rPr>
        <w:br/>
      </w:r>
      <w:r w:rsidR="00192192" w:rsidRPr="00192192">
        <w:rPr>
          <w:bCs/>
        </w:rPr>
        <w:t xml:space="preserve">The first part of the course (Differential equations) is based on the following textbook: </w:t>
      </w:r>
    </w:p>
    <w:p w14:paraId="2EDCDDE9" w14:textId="7D75A4E0" w:rsidR="00192192" w:rsidRDefault="00192192" w:rsidP="00192192">
      <w:pPr>
        <w:numPr>
          <w:ilvl w:val="0"/>
          <w:numId w:val="9"/>
        </w:numPr>
        <w:rPr>
          <w:bCs/>
        </w:rPr>
      </w:pPr>
      <w:r w:rsidRPr="00192192">
        <w:rPr>
          <w:bCs/>
          <w:i/>
          <w:iCs/>
        </w:rPr>
        <w:t xml:space="preserve">Differential Equations with Boundary Value Problems, </w:t>
      </w:r>
      <w:r w:rsidRPr="00192192">
        <w:rPr>
          <w:bCs/>
        </w:rPr>
        <w:t xml:space="preserve">2nd Edition by John Polking, Albert Boggess, and David Arnold, Pearson (ISBN: 9780134689500). </w:t>
      </w:r>
    </w:p>
    <w:p w14:paraId="1BB21457" w14:textId="1CC6B495" w:rsidR="00192192" w:rsidRPr="00192192" w:rsidRDefault="00192192" w:rsidP="00192192">
      <w:pPr>
        <w:numPr>
          <w:ilvl w:val="0"/>
          <w:numId w:val="9"/>
        </w:numPr>
        <w:rPr>
          <w:bCs/>
        </w:rPr>
      </w:pPr>
      <w:r>
        <w:rPr>
          <w:bCs/>
          <w:i/>
          <w:iCs/>
        </w:rPr>
        <w:t xml:space="preserve">The cost of this textbook is </w:t>
      </w:r>
      <w:r w:rsidRPr="00192192">
        <w:rPr>
          <w:bCs/>
          <w:i/>
          <w:iCs/>
        </w:rPr>
        <w:t>$161.50</w:t>
      </w:r>
    </w:p>
    <w:p w14:paraId="17284787" w14:textId="77777777" w:rsidR="00192192" w:rsidRPr="00192192" w:rsidRDefault="00192192" w:rsidP="00192192">
      <w:pPr>
        <w:rPr>
          <w:bCs/>
        </w:rPr>
      </w:pPr>
    </w:p>
    <w:p w14:paraId="08649ADC" w14:textId="77777777" w:rsidR="00192192" w:rsidRDefault="00192192" w:rsidP="00192192">
      <w:pPr>
        <w:rPr>
          <w:bCs/>
          <w:color w:val="007F00"/>
        </w:rPr>
      </w:pPr>
      <w:r w:rsidRPr="00192192">
        <w:rPr>
          <w:bCs/>
        </w:rPr>
        <w:t>The material for the second part of the course (Markov chains) will be uploaded to OWL</w:t>
      </w:r>
      <w:r w:rsidRPr="00192192">
        <w:rPr>
          <w:bCs/>
          <w:color w:val="007F00"/>
        </w:rPr>
        <w:t xml:space="preserve">. </w:t>
      </w:r>
    </w:p>
    <w:p w14:paraId="07A122C1" w14:textId="77777777" w:rsidR="00192192" w:rsidRDefault="00192192" w:rsidP="00192192">
      <w:pPr>
        <w:rPr>
          <w:bCs/>
          <w:color w:val="007F00"/>
        </w:rPr>
      </w:pPr>
    </w:p>
    <w:p w14:paraId="3C1AA1F3" w14:textId="1695B082" w:rsidR="00CE2F68" w:rsidRPr="00AE2BFD" w:rsidRDefault="002D6C2A" w:rsidP="00192192">
      <w:pPr>
        <w:rPr>
          <w:b/>
          <w:bCs/>
          <w:color w:val="000000" w:themeColor="text1"/>
        </w:rPr>
      </w:pPr>
      <w:r w:rsidRPr="002D6C2A">
        <w:rPr>
          <w:b/>
          <w:bCs/>
          <w:color w:val="000000" w:themeColor="text1"/>
        </w:rPr>
        <w:t>Students are welcome to purchase second-hand or earlier editions of this textbook.</w:t>
      </w:r>
    </w:p>
    <w:p w14:paraId="79B7AA7E" w14:textId="77777777" w:rsidR="009F463E" w:rsidRPr="00A84D9F" w:rsidRDefault="009F463E" w:rsidP="00845B86">
      <w:pPr>
        <w:rPr>
          <w:bCs/>
          <w:color w:val="385623" w:themeColor="accent6" w:themeShade="80"/>
        </w:rPr>
      </w:pPr>
    </w:p>
    <w:p w14:paraId="0FB0C1AA" w14:textId="77777777" w:rsidR="004D3EEA" w:rsidRPr="008C038D" w:rsidRDefault="004D3EEA" w:rsidP="004D3EEA">
      <w:pPr>
        <w:rPr>
          <w:bCs/>
          <w:color w:val="000000" w:themeColor="text1"/>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34C48018" w:rsidR="008C038D" w:rsidRP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8"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4D59D0B1" w14:textId="39C0921A" w:rsidR="00B451DA" w:rsidRDefault="00B451DA" w:rsidP="00681697">
      <w:pPr>
        <w:rPr>
          <w:color w:val="00B050"/>
        </w:rPr>
      </w:pPr>
    </w:p>
    <w:p w14:paraId="0ECC8D5F" w14:textId="77777777" w:rsidR="00F94B85" w:rsidRDefault="00F94B85" w:rsidP="00681697">
      <w:pPr>
        <w:rPr>
          <w:color w:val="00B050"/>
        </w:rPr>
      </w:pPr>
    </w:p>
    <w:p w14:paraId="419B3283" w14:textId="654F6957" w:rsidR="002A1E88" w:rsidRDefault="002A1E88">
      <w:pPr>
        <w:rPr>
          <w:b/>
          <w:bCs/>
          <w:sz w:val="36"/>
          <w:szCs w:val="36"/>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2FA8B261" w14:textId="77777777" w:rsidR="00F94B85" w:rsidRPr="00F94B85" w:rsidRDefault="00F94B85" w:rsidP="00F94B85">
      <w:pPr>
        <w:rPr>
          <w:bCs/>
          <w:lang w:val="en-US"/>
        </w:rPr>
      </w:pPr>
    </w:p>
    <w:tbl>
      <w:tblPr>
        <w:tblStyle w:val="TableGrid"/>
        <w:tblW w:w="9224" w:type="dxa"/>
        <w:tblInd w:w="41" w:type="dxa"/>
        <w:tblCellMar>
          <w:left w:w="103" w:type="dxa"/>
        </w:tblCellMar>
        <w:tblLook w:val="04A0" w:firstRow="1" w:lastRow="0" w:firstColumn="1" w:lastColumn="0" w:noHBand="0" w:noVBand="1"/>
      </w:tblPr>
      <w:tblGrid>
        <w:gridCol w:w="1934"/>
        <w:gridCol w:w="2415"/>
        <w:gridCol w:w="2505"/>
        <w:gridCol w:w="2370"/>
      </w:tblGrid>
      <w:tr w:rsidR="00F94B85" w:rsidRPr="00F94B85" w14:paraId="684B6502" w14:textId="77777777" w:rsidTr="00F94B85">
        <w:trPr>
          <w:trHeight w:val="371"/>
        </w:trPr>
        <w:tc>
          <w:tcPr>
            <w:tcW w:w="1934" w:type="dxa"/>
            <w:tcBorders>
              <w:top w:val="single" w:sz="4" w:space="0" w:color="auto"/>
              <w:left w:val="single" w:sz="4" w:space="0" w:color="auto"/>
              <w:bottom w:val="single" w:sz="4" w:space="0" w:color="auto"/>
              <w:right w:val="single" w:sz="4" w:space="0" w:color="auto"/>
            </w:tcBorders>
            <w:hideMark/>
          </w:tcPr>
          <w:p w14:paraId="75D003EF" w14:textId="77777777" w:rsidR="00F94B85" w:rsidRPr="00F94B85" w:rsidRDefault="00F94B85" w:rsidP="00F94B85">
            <w:pPr>
              <w:rPr>
                <w:b/>
                <w:bCs/>
                <w:lang w:val="en-US"/>
              </w:rPr>
            </w:pPr>
            <w:r w:rsidRPr="00F94B85">
              <w:rPr>
                <w:b/>
                <w:bCs/>
                <w:lang w:val="en-US"/>
              </w:rPr>
              <w:t>Assessment</w:t>
            </w:r>
          </w:p>
        </w:tc>
        <w:tc>
          <w:tcPr>
            <w:tcW w:w="2415" w:type="dxa"/>
            <w:tcBorders>
              <w:top w:val="single" w:sz="4" w:space="0" w:color="auto"/>
              <w:left w:val="single" w:sz="4" w:space="0" w:color="auto"/>
              <w:bottom w:val="single" w:sz="4" w:space="0" w:color="auto"/>
              <w:right w:val="single" w:sz="4" w:space="0" w:color="auto"/>
            </w:tcBorders>
            <w:hideMark/>
          </w:tcPr>
          <w:p w14:paraId="4833D9B7" w14:textId="77777777" w:rsidR="00F94B85" w:rsidRPr="00F94B85" w:rsidRDefault="00F94B85" w:rsidP="00F94B85">
            <w:pPr>
              <w:rPr>
                <w:b/>
                <w:bCs/>
                <w:lang w:val="en-US"/>
              </w:rPr>
            </w:pPr>
            <w:r w:rsidRPr="00F94B85">
              <w:rPr>
                <w:b/>
                <w:bCs/>
                <w:lang w:val="en-US"/>
              </w:rPr>
              <w:t>Format</w:t>
            </w:r>
          </w:p>
        </w:tc>
        <w:tc>
          <w:tcPr>
            <w:tcW w:w="2505" w:type="dxa"/>
            <w:tcBorders>
              <w:top w:val="single" w:sz="4" w:space="0" w:color="auto"/>
              <w:left w:val="single" w:sz="4" w:space="0" w:color="auto"/>
              <w:bottom w:val="single" w:sz="4" w:space="0" w:color="auto"/>
              <w:right w:val="single" w:sz="4" w:space="0" w:color="auto"/>
            </w:tcBorders>
            <w:hideMark/>
          </w:tcPr>
          <w:p w14:paraId="08341EEB" w14:textId="77777777" w:rsidR="00F94B85" w:rsidRPr="00F94B85" w:rsidRDefault="00F94B85" w:rsidP="00F94B85">
            <w:pPr>
              <w:rPr>
                <w:b/>
                <w:bCs/>
                <w:lang w:val="en-US"/>
              </w:rPr>
            </w:pPr>
            <w:r w:rsidRPr="00F94B85">
              <w:rPr>
                <w:b/>
                <w:bCs/>
                <w:lang w:val="en-US"/>
              </w:rPr>
              <w:t>Weighting</w:t>
            </w:r>
          </w:p>
        </w:tc>
        <w:tc>
          <w:tcPr>
            <w:tcW w:w="2370" w:type="dxa"/>
            <w:tcBorders>
              <w:top w:val="single" w:sz="4" w:space="0" w:color="auto"/>
              <w:left w:val="single" w:sz="4" w:space="0" w:color="auto"/>
              <w:bottom w:val="single" w:sz="4" w:space="0" w:color="auto"/>
              <w:right w:val="single" w:sz="4" w:space="0" w:color="auto"/>
            </w:tcBorders>
            <w:hideMark/>
          </w:tcPr>
          <w:p w14:paraId="5292E441" w14:textId="77777777" w:rsidR="00F94B85" w:rsidRPr="00F94B85" w:rsidRDefault="00F94B85" w:rsidP="00F94B85">
            <w:pPr>
              <w:rPr>
                <w:b/>
                <w:bCs/>
                <w:lang w:val="en-US"/>
              </w:rPr>
            </w:pPr>
            <w:r w:rsidRPr="00F94B85">
              <w:rPr>
                <w:b/>
                <w:bCs/>
                <w:lang w:val="en-US"/>
              </w:rPr>
              <w:t>Date</w:t>
            </w:r>
          </w:p>
        </w:tc>
      </w:tr>
      <w:tr w:rsidR="00F94B85" w:rsidRPr="00F94B85" w14:paraId="78952570" w14:textId="77777777" w:rsidTr="00F94B85">
        <w:trPr>
          <w:trHeight w:val="397"/>
        </w:trPr>
        <w:tc>
          <w:tcPr>
            <w:tcW w:w="1934" w:type="dxa"/>
            <w:tcBorders>
              <w:top w:val="single" w:sz="4" w:space="0" w:color="auto"/>
              <w:left w:val="single" w:sz="4" w:space="0" w:color="auto"/>
              <w:bottom w:val="single" w:sz="4" w:space="0" w:color="auto"/>
              <w:right w:val="single" w:sz="4" w:space="0" w:color="auto"/>
            </w:tcBorders>
            <w:hideMark/>
          </w:tcPr>
          <w:p w14:paraId="2F6EDDF0" w14:textId="77777777" w:rsidR="00F94B85" w:rsidRPr="00F94B85" w:rsidRDefault="00F94B85" w:rsidP="00F94B85">
            <w:pPr>
              <w:rPr>
                <w:bCs/>
                <w:lang w:val="en-US"/>
              </w:rPr>
            </w:pPr>
            <w:r w:rsidRPr="00F94B85">
              <w:rPr>
                <w:bCs/>
                <w:lang w:val="en-US"/>
              </w:rPr>
              <w:t>Assignments</w:t>
            </w:r>
          </w:p>
        </w:tc>
        <w:tc>
          <w:tcPr>
            <w:tcW w:w="2415" w:type="dxa"/>
            <w:tcBorders>
              <w:top w:val="single" w:sz="4" w:space="0" w:color="auto"/>
              <w:left w:val="single" w:sz="4" w:space="0" w:color="auto"/>
              <w:bottom w:val="single" w:sz="4" w:space="0" w:color="auto"/>
              <w:right w:val="single" w:sz="4" w:space="0" w:color="auto"/>
            </w:tcBorders>
            <w:hideMark/>
          </w:tcPr>
          <w:p w14:paraId="4B44FC5B" w14:textId="77777777" w:rsidR="00F94B85" w:rsidRPr="00F94B85" w:rsidRDefault="00F94B85" w:rsidP="00F94B85">
            <w:pPr>
              <w:rPr>
                <w:bCs/>
                <w:lang w:val="en-US"/>
              </w:rPr>
            </w:pPr>
            <w:r w:rsidRPr="00F94B85">
              <w:rPr>
                <w:bCs/>
                <w:lang w:val="en-US"/>
              </w:rPr>
              <w:t>Online</w:t>
            </w:r>
          </w:p>
        </w:tc>
        <w:tc>
          <w:tcPr>
            <w:tcW w:w="2505" w:type="dxa"/>
            <w:tcBorders>
              <w:top w:val="single" w:sz="4" w:space="0" w:color="auto"/>
              <w:left w:val="single" w:sz="4" w:space="0" w:color="auto"/>
              <w:bottom w:val="single" w:sz="4" w:space="0" w:color="auto"/>
              <w:right w:val="single" w:sz="4" w:space="0" w:color="auto"/>
            </w:tcBorders>
            <w:hideMark/>
          </w:tcPr>
          <w:p w14:paraId="3092036E" w14:textId="77777777" w:rsidR="00F94B85" w:rsidRPr="00F94B85" w:rsidRDefault="00F94B85" w:rsidP="00F94B85">
            <w:pPr>
              <w:rPr>
                <w:bCs/>
                <w:lang w:val="en-US"/>
              </w:rPr>
            </w:pPr>
            <w:r w:rsidRPr="00F94B85">
              <w:rPr>
                <w:bCs/>
                <w:lang w:val="en-US"/>
              </w:rPr>
              <w:t>4 Equally weighted assessments totaling 16% of the course grade</w:t>
            </w:r>
          </w:p>
        </w:tc>
        <w:tc>
          <w:tcPr>
            <w:tcW w:w="2370" w:type="dxa"/>
            <w:tcBorders>
              <w:top w:val="single" w:sz="4" w:space="0" w:color="auto"/>
              <w:left w:val="single" w:sz="4" w:space="0" w:color="auto"/>
              <w:bottom w:val="single" w:sz="4" w:space="0" w:color="auto"/>
              <w:right w:val="single" w:sz="4" w:space="0" w:color="auto"/>
            </w:tcBorders>
            <w:hideMark/>
          </w:tcPr>
          <w:p w14:paraId="6C9A5AAA" w14:textId="77777777" w:rsidR="00F94B85" w:rsidRPr="00F94B85" w:rsidRDefault="00F94B85" w:rsidP="00F94B85">
            <w:pPr>
              <w:rPr>
                <w:bCs/>
                <w:lang w:val="en-US"/>
              </w:rPr>
            </w:pPr>
            <w:r w:rsidRPr="00F94B85">
              <w:rPr>
                <w:bCs/>
                <w:lang w:val="en-US"/>
              </w:rPr>
              <w:t>TBA</w:t>
            </w:r>
          </w:p>
        </w:tc>
      </w:tr>
      <w:tr w:rsidR="00F94B85" w:rsidRPr="00F94B85" w14:paraId="4B7DE317" w14:textId="77777777" w:rsidTr="00F94B85">
        <w:trPr>
          <w:trHeight w:val="397"/>
        </w:trPr>
        <w:tc>
          <w:tcPr>
            <w:tcW w:w="1934" w:type="dxa"/>
            <w:tcBorders>
              <w:top w:val="single" w:sz="4" w:space="0" w:color="auto"/>
              <w:left w:val="single" w:sz="4" w:space="0" w:color="auto"/>
              <w:bottom w:val="single" w:sz="4" w:space="0" w:color="auto"/>
              <w:right w:val="single" w:sz="4" w:space="0" w:color="auto"/>
            </w:tcBorders>
            <w:hideMark/>
          </w:tcPr>
          <w:p w14:paraId="0CCA394B" w14:textId="77777777" w:rsidR="00F94B85" w:rsidRPr="00F94B85" w:rsidRDefault="00F94B85" w:rsidP="00F94B85">
            <w:pPr>
              <w:rPr>
                <w:bCs/>
                <w:lang w:val="en-US"/>
              </w:rPr>
            </w:pPr>
            <w:r w:rsidRPr="00F94B85">
              <w:rPr>
                <w:bCs/>
                <w:lang w:val="en-US"/>
              </w:rPr>
              <w:t>Midterm Test 1</w:t>
            </w:r>
          </w:p>
        </w:tc>
        <w:tc>
          <w:tcPr>
            <w:tcW w:w="2415" w:type="dxa"/>
            <w:tcBorders>
              <w:top w:val="single" w:sz="4" w:space="0" w:color="auto"/>
              <w:left w:val="single" w:sz="4" w:space="0" w:color="auto"/>
              <w:bottom w:val="single" w:sz="4" w:space="0" w:color="auto"/>
              <w:right w:val="single" w:sz="4" w:space="0" w:color="auto"/>
            </w:tcBorders>
            <w:hideMark/>
          </w:tcPr>
          <w:p w14:paraId="4504B29C" w14:textId="77777777" w:rsidR="00F94B85" w:rsidRPr="00F94B85" w:rsidRDefault="00F94B85" w:rsidP="00F94B85">
            <w:pPr>
              <w:rPr>
                <w:bCs/>
                <w:lang w:val="en-US"/>
              </w:rPr>
            </w:pPr>
            <w:r w:rsidRPr="00F94B85">
              <w:rPr>
                <w:bCs/>
                <w:lang w:val="en-US"/>
              </w:rPr>
              <w:t>In-person</w:t>
            </w:r>
          </w:p>
        </w:tc>
        <w:tc>
          <w:tcPr>
            <w:tcW w:w="2505" w:type="dxa"/>
            <w:tcBorders>
              <w:top w:val="single" w:sz="4" w:space="0" w:color="auto"/>
              <w:left w:val="single" w:sz="4" w:space="0" w:color="auto"/>
              <w:bottom w:val="single" w:sz="4" w:space="0" w:color="auto"/>
              <w:right w:val="single" w:sz="4" w:space="0" w:color="auto"/>
            </w:tcBorders>
            <w:hideMark/>
          </w:tcPr>
          <w:p w14:paraId="6044E5A2" w14:textId="77777777" w:rsidR="00F94B85" w:rsidRPr="00F94B85" w:rsidRDefault="00F94B85" w:rsidP="00F94B85">
            <w:pPr>
              <w:rPr>
                <w:bCs/>
                <w:lang w:val="en-US"/>
              </w:rPr>
            </w:pPr>
            <w:r w:rsidRPr="00F94B85">
              <w:rPr>
                <w:bCs/>
                <w:lang w:val="en-US"/>
              </w:rPr>
              <w:t>22%</w:t>
            </w:r>
          </w:p>
        </w:tc>
        <w:tc>
          <w:tcPr>
            <w:tcW w:w="2370" w:type="dxa"/>
            <w:tcBorders>
              <w:top w:val="single" w:sz="4" w:space="0" w:color="auto"/>
              <w:left w:val="single" w:sz="4" w:space="0" w:color="auto"/>
              <w:bottom w:val="single" w:sz="4" w:space="0" w:color="auto"/>
              <w:right w:val="single" w:sz="4" w:space="0" w:color="auto"/>
            </w:tcBorders>
            <w:hideMark/>
          </w:tcPr>
          <w:p w14:paraId="4E2A6552" w14:textId="0086A535" w:rsidR="00F94B85" w:rsidRPr="00F94B85" w:rsidRDefault="00F94B85" w:rsidP="00F94B85">
            <w:pPr>
              <w:rPr>
                <w:bCs/>
                <w:lang w:val="en-US"/>
              </w:rPr>
            </w:pPr>
            <w:r w:rsidRPr="00F94B85">
              <w:rPr>
                <w:bCs/>
                <w:lang w:val="en-US"/>
              </w:rPr>
              <w:t xml:space="preserve">Saturday, Feb </w:t>
            </w:r>
            <w:r>
              <w:rPr>
                <w:bCs/>
                <w:lang w:val="en-US"/>
              </w:rPr>
              <w:t>8</w:t>
            </w:r>
            <w:r w:rsidRPr="00F94B85">
              <w:rPr>
                <w:bCs/>
                <w:lang w:val="en-US"/>
              </w:rPr>
              <w:t xml:space="preserve">,   </w:t>
            </w:r>
            <w:r>
              <w:rPr>
                <w:bCs/>
                <w:lang w:val="en-US"/>
              </w:rPr>
              <w:t>9</w:t>
            </w:r>
            <w:r w:rsidRPr="00F94B85">
              <w:rPr>
                <w:bCs/>
                <w:lang w:val="en-US"/>
              </w:rPr>
              <w:t xml:space="preserve"> – </w:t>
            </w:r>
            <w:r>
              <w:rPr>
                <w:bCs/>
                <w:lang w:val="en-US"/>
              </w:rPr>
              <w:t>11</w:t>
            </w:r>
            <w:r w:rsidRPr="00F94B85">
              <w:rPr>
                <w:bCs/>
                <w:lang w:val="en-US"/>
              </w:rPr>
              <w:t xml:space="preserve"> PM</w:t>
            </w:r>
          </w:p>
        </w:tc>
      </w:tr>
      <w:tr w:rsidR="00F94B85" w:rsidRPr="00F94B85" w14:paraId="24895ADF" w14:textId="77777777" w:rsidTr="00F94B85">
        <w:trPr>
          <w:trHeight w:val="371"/>
        </w:trPr>
        <w:tc>
          <w:tcPr>
            <w:tcW w:w="1934" w:type="dxa"/>
            <w:tcBorders>
              <w:top w:val="single" w:sz="4" w:space="0" w:color="auto"/>
              <w:left w:val="single" w:sz="4" w:space="0" w:color="auto"/>
              <w:bottom w:val="single" w:sz="4" w:space="0" w:color="auto"/>
              <w:right w:val="single" w:sz="4" w:space="0" w:color="auto"/>
            </w:tcBorders>
            <w:hideMark/>
          </w:tcPr>
          <w:p w14:paraId="377DBD33" w14:textId="77777777" w:rsidR="00F94B85" w:rsidRPr="00F94B85" w:rsidRDefault="00F94B85" w:rsidP="00F94B85">
            <w:pPr>
              <w:rPr>
                <w:bCs/>
                <w:lang w:val="en-US"/>
              </w:rPr>
            </w:pPr>
            <w:r w:rsidRPr="00F94B85">
              <w:rPr>
                <w:bCs/>
                <w:lang w:val="en-US"/>
              </w:rPr>
              <w:t>Midterm Test 2</w:t>
            </w:r>
          </w:p>
        </w:tc>
        <w:tc>
          <w:tcPr>
            <w:tcW w:w="2415" w:type="dxa"/>
            <w:tcBorders>
              <w:top w:val="single" w:sz="4" w:space="0" w:color="auto"/>
              <w:left w:val="single" w:sz="4" w:space="0" w:color="auto"/>
              <w:bottom w:val="single" w:sz="4" w:space="0" w:color="auto"/>
              <w:right w:val="single" w:sz="4" w:space="0" w:color="auto"/>
            </w:tcBorders>
            <w:hideMark/>
          </w:tcPr>
          <w:p w14:paraId="6DD0312E" w14:textId="77777777" w:rsidR="00F94B85" w:rsidRPr="00F94B85" w:rsidRDefault="00F94B85" w:rsidP="00F94B85">
            <w:pPr>
              <w:rPr>
                <w:bCs/>
                <w:lang w:val="en-US"/>
              </w:rPr>
            </w:pPr>
            <w:r w:rsidRPr="00F94B85">
              <w:rPr>
                <w:bCs/>
                <w:lang w:val="en-US"/>
              </w:rPr>
              <w:t>In-person</w:t>
            </w:r>
          </w:p>
        </w:tc>
        <w:tc>
          <w:tcPr>
            <w:tcW w:w="2505" w:type="dxa"/>
            <w:tcBorders>
              <w:top w:val="single" w:sz="4" w:space="0" w:color="auto"/>
              <w:left w:val="single" w:sz="4" w:space="0" w:color="auto"/>
              <w:bottom w:val="single" w:sz="4" w:space="0" w:color="auto"/>
              <w:right w:val="single" w:sz="4" w:space="0" w:color="auto"/>
            </w:tcBorders>
            <w:hideMark/>
          </w:tcPr>
          <w:p w14:paraId="66FBA1E0" w14:textId="77777777" w:rsidR="00F94B85" w:rsidRPr="00F94B85" w:rsidRDefault="00F94B85" w:rsidP="00F94B85">
            <w:pPr>
              <w:rPr>
                <w:bCs/>
                <w:lang w:val="en-US"/>
              </w:rPr>
            </w:pPr>
            <w:r w:rsidRPr="00F94B85">
              <w:rPr>
                <w:bCs/>
                <w:lang w:val="en-US"/>
              </w:rPr>
              <w:t>22%</w:t>
            </w:r>
          </w:p>
        </w:tc>
        <w:tc>
          <w:tcPr>
            <w:tcW w:w="2370" w:type="dxa"/>
            <w:tcBorders>
              <w:top w:val="single" w:sz="4" w:space="0" w:color="auto"/>
              <w:left w:val="single" w:sz="4" w:space="0" w:color="auto"/>
              <w:bottom w:val="single" w:sz="4" w:space="0" w:color="auto"/>
              <w:right w:val="single" w:sz="4" w:space="0" w:color="auto"/>
            </w:tcBorders>
            <w:hideMark/>
          </w:tcPr>
          <w:p w14:paraId="5E7E0B6E" w14:textId="7FC3F59E" w:rsidR="00F94B85" w:rsidRPr="00F94B85" w:rsidRDefault="00F94B85" w:rsidP="00F94B85">
            <w:pPr>
              <w:rPr>
                <w:bCs/>
                <w:lang w:val="en-US"/>
              </w:rPr>
            </w:pPr>
            <w:r w:rsidRPr="00F94B85">
              <w:rPr>
                <w:bCs/>
                <w:lang w:val="en-US"/>
              </w:rPr>
              <w:t>Saturday, March 1</w:t>
            </w:r>
            <w:r>
              <w:rPr>
                <w:bCs/>
                <w:lang w:val="en-US"/>
              </w:rPr>
              <w:t>5</w:t>
            </w:r>
            <w:r w:rsidRPr="00F94B85">
              <w:rPr>
                <w:bCs/>
                <w:lang w:val="en-US"/>
              </w:rPr>
              <w:t xml:space="preserve">, </w:t>
            </w:r>
            <w:r>
              <w:rPr>
                <w:bCs/>
                <w:lang w:val="en-US"/>
              </w:rPr>
              <w:t>9</w:t>
            </w:r>
            <w:r w:rsidRPr="00F94B85">
              <w:rPr>
                <w:bCs/>
                <w:lang w:val="en-US"/>
              </w:rPr>
              <w:t xml:space="preserve"> – </w:t>
            </w:r>
            <w:r>
              <w:rPr>
                <w:bCs/>
                <w:lang w:val="en-US"/>
              </w:rPr>
              <w:t>11</w:t>
            </w:r>
            <w:r w:rsidRPr="00F94B85">
              <w:rPr>
                <w:bCs/>
                <w:lang w:val="en-US"/>
              </w:rPr>
              <w:t xml:space="preserve"> PM</w:t>
            </w:r>
          </w:p>
        </w:tc>
      </w:tr>
      <w:tr w:rsidR="00F94B85" w:rsidRPr="00F94B85" w14:paraId="23772E37" w14:textId="77777777" w:rsidTr="00F94B85">
        <w:trPr>
          <w:trHeight w:val="371"/>
        </w:trPr>
        <w:tc>
          <w:tcPr>
            <w:tcW w:w="1934" w:type="dxa"/>
            <w:tcBorders>
              <w:top w:val="single" w:sz="4" w:space="0" w:color="auto"/>
              <w:left w:val="single" w:sz="4" w:space="0" w:color="auto"/>
              <w:bottom w:val="single" w:sz="4" w:space="0" w:color="auto"/>
              <w:right w:val="single" w:sz="4" w:space="0" w:color="auto"/>
            </w:tcBorders>
            <w:hideMark/>
          </w:tcPr>
          <w:p w14:paraId="446FE3AB" w14:textId="77777777" w:rsidR="00F94B85" w:rsidRPr="00F94B85" w:rsidRDefault="00F94B85" w:rsidP="00F94B85">
            <w:pPr>
              <w:rPr>
                <w:bCs/>
                <w:lang w:val="en-US"/>
              </w:rPr>
            </w:pPr>
            <w:r w:rsidRPr="00F94B85">
              <w:rPr>
                <w:bCs/>
                <w:lang w:val="en-US"/>
              </w:rPr>
              <w:t>Final Exam</w:t>
            </w:r>
          </w:p>
        </w:tc>
        <w:tc>
          <w:tcPr>
            <w:tcW w:w="2415" w:type="dxa"/>
            <w:tcBorders>
              <w:top w:val="single" w:sz="4" w:space="0" w:color="auto"/>
              <w:left w:val="single" w:sz="4" w:space="0" w:color="auto"/>
              <w:bottom w:val="single" w:sz="4" w:space="0" w:color="auto"/>
              <w:right w:val="single" w:sz="4" w:space="0" w:color="auto"/>
            </w:tcBorders>
            <w:hideMark/>
          </w:tcPr>
          <w:p w14:paraId="137DFBFA" w14:textId="77777777" w:rsidR="00F94B85" w:rsidRPr="00F94B85" w:rsidRDefault="00F94B85" w:rsidP="00F94B85">
            <w:pPr>
              <w:rPr>
                <w:bCs/>
                <w:lang w:val="en-US"/>
              </w:rPr>
            </w:pPr>
            <w:r w:rsidRPr="00F94B85">
              <w:rPr>
                <w:bCs/>
                <w:lang w:val="en-US"/>
              </w:rPr>
              <w:t>In-person, synchronous</w:t>
            </w:r>
          </w:p>
        </w:tc>
        <w:tc>
          <w:tcPr>
            <w:tcW w:w="2505" w:type="dxa"/>
            <w:tcBorders>
              <w:top w:val="single" w:sz="4" w:space="0" w:color="auto"/>
              <w:left w:val="single" w:sz="4" w:space="0" w:color="auto"/>
              <w:bottom w:val="single" w:sz="4" w:space="0" w:color="auto"/>
              <w:right w:val="single" w:sz="4" w:space="0" w:color="auto"/>
            </w:tcBorders>
            <w:hideMark/>
          </w:tcPr>
          <w:p w14:paraId="63386C07" w14:textId="77777777" w:rsidR="00F94B85" w:rsidRPr="00F94B85" w:rsidRDefault="00F94B85" w:rsidP="00F94B85">
            <w:pPr>
              <w:rPr>
                <w:bCs/>
                <w:lang w:val="en-US"/>
              </w:rPr>
            </w:pPr>
            <w:r w:rsidRPr="00F94B85">
              <w:rPr>
                <w:bCs/>
                <w:lang w:val="en-US"/>
              </w:rPr>
              <w:t>40%</w:t>
            </w:r>
          </w:p>
        </w:tc>
        <w:tc>
          <w:tcPr>
            <w:tcW w:w="2370" w:type="dxa"/>
            <w:tcBorders>
              <w:top w:val="single" w:sz="4" w:space="0" w:color="auto"/>
              <w:left w:val="single" w:sz="4" w:space="0" w:color="auto"/>
              <w:bottom w:val="single" w:sz="4" w:space="0" w:color="auto"/>
              <w:right w:val="single" w:sz="4" w:space="0" w:color="auto"/>
            </w:tcBorders>
            <w:hideMark/>
          </w:tcPr>
          <w:p w14:paraId="069529F4" w14:textId="77777777" w:rsidR="00F94B85" w:rsidRPr="00F94B85" w:rsidRDefault="00F94B85" w:rsidP="00F94B85">
            <w:pPr>
              <w:rPr>
                <w:bCs/>
                <w:lang w:val="en-US"/>
              </w:rPr>
            </w:pPr>
            <w:r w:rsidRPr="00F94B85">
              <w:rPr>
                <w:bCs/>
                <w:lang w:val="en-US"/>
              </w:rPr>
              <w:t>TBA (during the exam period)</w:t>
            </w:r>
          </w:p>
        </w:tc>
      </w:tr>
    </w:tbl>
    <w:p w14:paraId="2E34ACC7" w14:textId="77777777" w:rsidR="00F94B85" w:rsidRPr="00F94B85" w:rsidRDefault="00F94B85" w:rsidP="00F94B85">
      <w:pPr>
        <w:rPr>
          <w:bCs/>
          <w:lang w:val="en-US"/>
        </w:rPr>
      </w:pPr>
    </w:p>
    <w:p w14:paraId="42F73679" w14:textId="77777777" w:rsidR="00D7028B" w:rsidRDefault="00D7028B" w:rsidP="00D7028B">
      <w:pPr>
        <w:rPr>
          <w:bCs/>
          <w:color w:val="FF0000"/>
        </w:rPr>
      </w:pPr>
    </w:p>
    <w:p w14:paraId="16D31B23" w14:textId="77777777" w:rsidR="00F94B85" w:rsidRPr="00E91658" w:rsidRDefault="00F94B85" w:rsidP="00F94B85">
      <w:pPr>
        <w:rPr>
          <w:rFonts w:ascii="Arial" w:eastAsiaTheme="minorHAnsi" w:hAnsi="Arial" w:cs="Arial"/>
          <w:b/>
          <w:bCs/>
          <w:lang w:val="en-US" w:eastAsia="en-US"/>
        </w:rPr>
      </w:pPr>
      <w:r w:rsidRPr="00E91658">
        <w:rPr>
          <w:rFonts w:ascii="Arial" w:eastAsiaTheme="minorHAnsi" w:hAnsi="Arial" w:cs="Arial"/>
          <w:b/>
          <w:bCs/>
          <w:lang w:val="en-US" w:eastAsia="en-US"/>
        </w:rPr>
        <w:t>Other Information About Tests and Examinations:</w:t>
      </w:r>
    </w:p>
    <w:p w14:paraId="3BC4DC9D" w14:textId="77777777" w:rsidR="00F94B85" w:rsidRPr="00E91658" w:rsidRDefault="00F94B85" w:rsidP="00F94B85">
      <w:pPr>
        <w:jc w:val="both"/>
        <w:rPr>
          <w:rFonts w:ascii="Arial" w:eastAsiaTheme="minorHAnsi" w:hAnsi="Arial" w:cs="Arial"/>
          <w:lang w:val="en-US" w:eastAsia="en-US"/>
        </w:rPr>
      </w:pPr>
    </w:p>
    <w:p w14:paraId="0A505725" w14:textId="77777777" w:rsidR="00F94B85" w:rsidRPr="00E91658" w:rsidRDefault="00F94B85" w:rsidP="00F94B85">
      <w:pPr>
        <w:numPr>
          <w:ilvl w:val="0"/>
          <w:numId w:val="10"/>
        </w:numPr>
        <w:contextualSpacing/>
        <w:jc w:val="both"/>
        <w:rPr>
          <w:rFonts w:ascii="Arial" w:eastAsiaTheme="minorHAnsi" w:hAnsi="Arial" w:cs="Arial"/>
          <w:lang w:val="en-US" w:eastAsia="en-US"/>
        </w:rPr>
      </w:pPr>
      <w:r>
        <w:rPr>
          <w:rFonts w:ascii="Arial" w:hAnsi="Arial" w:cs="Arial"/>
        </w:rPr>
        <w:t xml:space="preserve">The midterm tests and final exam will be in-person. </w:t>
      </w:r>
      <w:r w:rsidRPr="00E91658">
        <w:rPr>
          <w:rFonts w:ascii="Arial" w:eastAsiaTheme="minorHAnsi" w:hAnsi="Arial" w:cs="Arial"/>
          <w:lang w:val="en-US" w:eastAsia="en-US"/>
        </w:rPr>
        <w:t>Virtual proctoring will be employed on the midterm test and the final exam if the course will be run online, otherwise, the test and final exam will be held in classrooms.</w:t>
      </w:r>
    </w:p>
    <w:p w14:paraId="472BCD54" w14:textId="77777777" w:rsidR="00F94B85" w:rsidRPr="00E91658" w:rsidRDefault="00F94B85" w:rsidP="00F94B85">
      <w:pPr>
        <w:jc w:val="both"/>
        <w:rPr>
          <w:rFonts w:ascii="Arial" w:eastAsiaTheme="minorHAnsi" w:hAnsi="Arial" w:cs="Arial"/>
          <w:lang w:val="en-US" w:eastAsia="en-US"/>
        </w:rPr>
      </w:pPr>
    </w:p>
    <w:p w14:paraId="7670F3C4" w14:textId="77777777" w:rsidR="00F94B85" w:rsidRPr="00E91658" w:rsidRDefault="00F94B85" w:rsidP="00F94B85">
      <w:pPr>
        <w:numPr>
          <w:ilvl w:val="0"/>
          <w:numId w:val="10"/>
        </w:numPr>
        <w:contextualSpacing/>
        <w:jc w:val="both"/>
        <w:rPr>
          <w:rFonts w:ascii="Arial" w:eastAsiaTheme="minorHAnsi" w:hAnsi="Arial" w:cs="Arial"/>
          <w:lang w:val="en-US" w:eastAsia="en-US"/>
        </w:rPr>
      </w:pPr>
      <w:r w:rsidRPr="00E91658">
        <w:rPr>
          <w:rFonts w:ascii="Arial" w:eastAsiaTheme="minorHAnsi" w:hAnsi="Arial" w:cs="Arial"/>
          <w:lang w:val="en-US" w:eastAsia="en-US"/>
        </w:rPr>
        <w:t xml:space="preserve">The midterm test will be 120 minutes in duration and will consist of a mixture of short answer and multiple-choice-style questions. </w:t>
      </w:r>
      <w:r w:rsidRPr="00E91658">
        <w:rPr>
          <w:rFonts w:ascii="Arial" w:eastAsiaTheme="minorHAnsi" w:hAnsi="Arial" w:cs="Arial"/>
          <w:i/>
          <w:iCs/>
          <w:lang w:val="en-US" w:eastAsia="en-US"/>
        </w:rPr>
        <w:t>These will be a closed book test.</w:t>
      </w:r>
    </w:p>
    <w:p w14:paraId="6644A7C1" w14:textId="77777777" w:rsidR="00F94B85" w:rsidRPr="00E91658" w:rsidRDefault="00F94B85" w:rsidP="00F94B85">
      <w:pPr>
        <w:jc w:val="both"/>
        <w:rPr>
          <w:rFonts w:ascii="Arial" w:eastAsiaTheme="minorHAnsi" w:hAnsi="Arial" w:cs="Arial"/>
          <w:lang w:val="en-US" w:eastAsia="en-US"/>
        </w:rPr>
      </w:pPr>
    </w:p>
    <w:p w14:paraId="72E47333" w14:textId="77777777" w:rsidR="00F94B85" w:rsidRPr="00E91658" w:rsidRDefault="00F94B85" w:rsidP="00F94B85">
      <w:pPr>
        <w:numPr>
          <w:ilvl w:val="0"/>
          <w:numId w:val="10"/>
        </w:numPr>
        <w:contextualSpacing/>
        <w:jc w:val="both"/>
        <w:rPr>
          <w:rFonts w:ascii="Arial" w:eastAsiaTheme="minorHAnsi" w:hAnsi="Arial" w:cs="Arial"/>
          <w:lang w:val="en-US" w:eastAsia="en-US"/>
        </w:rPr>
      </w:pPr>
      <w:r w:rsidRPr="00E91658">
        <w:rPr>
          <w:rFonts w:ascii="Arial" w:eastAsiaTheme="minorHAnsi" w:hAnsi="Arial" w:cs="Arial"/>
          <w:lang w:val="en-US" w:eastAsia="en-US"/>
        </w:rPr>
        <w:t xml:space="preserve">The final exam will be 180 minutes in duration and will consist of a mixture of short answer and multiple-choice-style questions. </w:t>
      </w:r>
      <w:r w:rsidRPr="00E91658">
        <w:rPr>
          <w:rFonts w:ascii="Arial" w:eastAsiaTheme="minorHAnsi" w:hAnsi="Arial" w:cs="Arial"/>
          <w:i/>
          <w:iCs/>
          <w:lang w:val="en-US" w:eastAsia="en-US"/>
        </w:rPr>
        <w:t>This will be a closed book exam.</w:t>
      </w:r>
    </w:p>
    <w:p w14:paraId="41244E6F" w14:textId="77777777" w:rsidR="00F94B85" w:rsidRPr="00E91658" w:rsidRDefault="00F94B85" w:rsidP="00F94B85">
      <w:pPr>
        <w:ind w:left="720"/>
        <w:contextualSpacing/>
        <w:jc w:val="both"/>
        <w:rPr>
          <w:rFonts w:ascii="Arial" w:eastAsiaTheme="minorHAnsi" w:hAnsi="Arial" w:cs="Arial"/>
          <w:lang w:val="en-US" w:eastAsia="en-US"/>
        </w:rPr>
      </w:pPr>
    </w:p>
    <w:p w14:paraId="28E1C92C" w14:textId="77777777" w:rsidR="00F94B85" w:rsidRPr="00E91658" w:rsidRDefault="00F94B85" w:rsidP="00F94B85">
      <w:pPr>
        <w:numPr>
          <w:ilvl w:val="0"/>
          <w:numId w:val="10"/>
        </w:numPr>
        <w:contextualSpacing/>
        <w:jc w:val="both"/>
        <w:rPr>
          <w:rFonts w:ascii="Arial" w:eastAsiaTheme="minorHAnsi" w:hAnsi="Arial" w:cs="Arial"/>
          <w:lang w:val="en-US" w:eastAsia="en-US"/>
        </w:rPr>
      </w:pPr>
      <w:r w:rsidRPr="00E91658">
        <w:rPr>
          <w:rFonts w:ascii="Arial" w:eastAsiaTheme="minorHAnsi" w:hAnsi="Arial" w:cs="Arial"/>
          <w:lang w:val="en-US" w:eastAsia="en-US"/>
        </w:rPr>
        <w:t>For multiple choice components of tests and the exam: use may be made of software to check for unusual coincidences in answer patterns that may indicate academic integrity violations.</w:t>
      </w:r>
    </w:p>
    <w:p w14:paraId="78EF7672" w14:textId="77777777" w:rsidR="00F94B85" w:rsidRPr="00E91658" w:rsidRDefault="00F94B85" w:rsidP="00F94B85">
      <w:pPr>
        <w:jc w:val="both"/>
        <w:rPr>
          <w:rFonts w:ascii="Arial" w:eastAsiaTheme="minorHAnsi" w:hAnsi="Arial" w:cs="Arial"/>
          <w:lang w:val="en-US" w:eastAsia="en-US"/>
        </w:rPr>
      </w:pPr>
    </w:p>
    <w:p w14:paraId="159FEEF9" w14:textId="77777777" w:rsidR="00F94B85" w:rsidRPr="00E91658" w:rsidRDefault="00F94B85" w:rsidP="00F94B85">
      <w:pPr>
        <w:numPr>
          <w:ilvl w:val="0"/>
          <w:numId w:val="10"/>
        </w:numPr>
        <w:contextualSpacing/>
        <w:jc w:val="both"/>
        <w:rPr>
          <w:rFonts w:ascii="Arial" w:eastAsiaTheme="minorHAnsi" w:hAnsi="Arial" w:cs="Arial"/>
          <w:lang w:val="en-US" w:eastAsia="en-US"/>
        </w:rPr>
      </w:pPr>
      <w:r w:rsidRPr="00E91658">
        <w:rPr>
          <w:rFonts w:ascii="Arial" w:eastAsiaTheme="minorHAnsi" w:hAnsi="Arial" w:cs="Arial"/>
          <w:lang w:val="en-US" w:eastAsia="en-US"/>
        </w:rPr>
        <w:t>The use o</w:t>
      </w:r>
      <w:r>
        <w:rPr>
          <w:rFonts w:ascii="Arial" w:eastAsiaTheme="minorHAnsi" w:hAnsi="Arial" w:cs="Arial"/>
          <w:lang w:val="en-US" w:eastAsia="en-US"/>
        </w:rPr>
        <w:t>f</w:t>
      </w:r>
      <w:r w:rsidRPr="00E91658">
        <w:rPr>
          <w:rFonts w:ascii="Arial" w:eastAsiaTheme="minorHAnsi" w:hAnsi="Arial" w:cs="Arial"/>
          <w:lang w:val="en-US" w:eastAsia="en-US"/>
        </w:rPr>
        <w:t xml:space="preserve"> communication devices (except of what will be indicated in test and exam instructions) during the test and final exam </w:t>
      </w:r>
      <w:r w:rsidRPr="00E91658">
        <w:rPr>
          <w:rFonts w:ascii="Arial" w:eastAsiaTheme="minorHAnsi" w:hAnsi="Arial" w:cs="Arial"/>
          <w:b/>
          <w:bCs/>
          <w:lang w:val="en-US" w:eastAsia="en-US"/>
        </w:rPr>
        <w:t>is prohibited</w:t>
      </w:r>
      <w:r w:rsidRPr="00E91658">
        <w:rPr>
          <w:rFonts w:ascii="Arial" w:eastAsiaTheme="minorHAnsi" w:hAnsi="Arial" w:cs="Arial"/>
          <w:lang w:val="en-US" w:eastAsia="en-US"/>
        </w:rPr>
        <w:t>.</w:t>
      </w:r>
    </w:p>
    <w:p w14:paraId="339F8E2A" w14:textId="77777777" w:rsidR="00F94B85" w:rsidRPr="00E91658" w:rsidRDefault="00F94B85" w:rsidP="00F94B85">
      <w:pPr>
        <w:jc w:val="both"/>
        <w:rPr>
          <w:rFonts w:ascii="Arial" w:eastAsiaTheme="minorHAnsi" w:hAnsi="Arial" w:cs="Arial"/>
          <w:lang w:val="en-US" w:eastAsia="en-US"/>
        </w:rPr>
      </w:pPr>
    </w:p>
    <w:p w14:paraId="0B1DB495" w14:textId="77777777" w:rsidR="00F94B85" w:rsidRPr="00E91658" w:rsidRDefault="00F94B85" w:rsidP="00F94B85">
      <w:pPr>
        <w:numPr>
          <w:ilvl w:val="0"/>
          <w:numId w:val="10"/>
        </w:numPr>
        <w:contextualSpacing/>
        <w:jc w:val="both"/>
        <w:rPr>
          <w:rFonts w:ascii="Arial" w:eastAsiaTheme="minorHAnsi" w:hAnsi="Arial" w:cs="Arial"/>
          <w:lang w:val="en-US" w:eastAsia="en-US"/>
        </w:rPr>
      </w:pPr>
      <w:r w:rsidRPr="00E91658">
        <w:rPr>
          <w:rFonts w:ascii="Arial" w:eastAsiaTheme="minorHAnsi" w:hAnsi="Arial" w:cs="Arial"/>
          <w:lang w:val="en-US" w:eastAsia="en-US"/>
        </w:rPr>
        <w:t>Missing a test, the final exam, or the due date of a submitted assignment will result in a grade of zero unless appropriate permission is sought and granted. In that case, your mark may be re-weighted, or a makeup evaluation may be arranged.</w:t>
      </w:r>
    </w:p>
    <w:p w14:paraId="0DA56B02" w14:textId="77777777" w:rsidR="00F94B85" w:rsidRPr="00E91658" w:rsidRDefault="00F94B85" w:rsidP="00F94B85">
      <w:pPr>
        <w:rPr>
          <w:rFonts w:ascii="Arial" w:eastAsiaTheme="minorHAnsi" w:hAnsi="Arial" w:cs="Arial"/>
          <w:lang w:val="en-US" w:eastAsia="en-US"/>
        </w:rPr>
      </w:pPr>
    </w:p>
    <w:p w14:paraId="3600FC62" w14:textId="2E3C354A" w:rsidR="00C22C65" w:rsidRDefault="00C22C65" w:rsidP="00681697">
      <w:pPr>
        <w:rPr>
          <w:bCs/>
          <w:color w:val="FF0000"/>
        </w:rPr>
      </w:pPr>
    </w:p>
    <w:p w14:paraId="12923907" w14:textId="4FF1DE90" w:rsidR="00CA408D" w:rsidRPr="00CA408D" w:rsidRDefault="0025296D" w:rsidP="00681697">
      <w:pPr>
        <w:rPr>
          <w:bCs/>
          <w:color w:val="FF0000"/>
        </w:rPr>
      </w:pPr>
      <w:r>
        <w:rPr>
          <w:b/>
          <w:bCs/>
        </w:rPr>
        <w:t>General information about missed coursework</w:t>
      </w:r>
    </w:p>
    <w:p w14:paraId="5FAA0807" w14:textId="34AE6AF1"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9"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37DA9F89"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10">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lastRenderedPageBreak/>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11">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67173950"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 xml:space="preserve">onsideration requests </w:t>
      </w:r>
      <w:r w:rsidR="006B6B23">
        <w:rPr>
          <w:color w:val="000000" w:themeColor="text1"/>
        </w:rPr>
        <w:t xml:space="preserve">normally </w:t>
      </w:r>
      <w:r w:rsidR="13D03E06" w:rsidRPr="5AFFF007">
        <w:rPr>
          <w:color w:val="000000" w:themeColor="text1"/>
        </w:rPr>
        <w:t>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6FCC031F" w:rsidR="007A02FE" w:rsidRDefault="001615DC" w:rsidP="007A02FE">
      <w:pPr>
        <w:pStyle w:val="ListParagraph"/>
        <w:numPr>
          <w:ilvl w:val="0"/>
          <w:numId w:val="4"/>
        </w:numPr>
        <w:rPr>
          <w:rFonts w:ascii="Times New Roman" w:hAnsi="Times New Roman" w:cs="Times New Roman"/>
        </w:rPr>
      </w:pPr>
      <w:r>
        <w:rPr>
          <w:rFonts w:ascii="Times New Roman" w:hAnsi="Times New Roman" w:cs="Times New Roman"/>
        </w:rPr>
        <w:t>Midterm 2</w:t>
      </w:r>
    </w:p>
    <w:p w14:paraId="2DD8DC1B" w14:textId="77777777" w:rsidR="001615DC" w:rsidRDefault="001615DC" w:rsidP="001615DC">
      <w:pPr>
        <w:rPr>
          <w:rtl/>
        </w:rPr>
      </w:pPr>
    </w:p>
    <w:p w14:paraId="282FFDC4" w14:textId="4A7150F5" w:rsidR="001615DC" w:rsidRPr="001615DC" w:rsidRDefault="001615DC" w:rsidP="001615DC">
      <w:r>
        <w:rPr>
          <w:color w:val="000000" w:themeColor="text1"/>
        </w:rPr>
        <w:t>A</w:t>
      </w:r>
      <w:r w:rsidRPr="5AFFF007">
        <w:rPr>
          <w:color w:val="000000" w:themeColor="text1"/>
        </w:rPr>
        <w:t xml:space="preserve">cademic </w:t>
      </w:r>
      <w:r>
        <w:rPr>
          <w:color w:val="000000" w:themeColor="text1"/>
        </w:rPr>
        <w:t>C</w:t>
      </w:r>
      <w:r w:rsidRPr="5AFFF007">
        <w:rPr>
          <w:color w:val="000000" w:themeColor="text1"/>
        </w:rPr>
        <w:t xml:space="preserve">onsideration </w:t>
      </w:r>
      <w:r w:rsidRPr="001615DC">
        <w:t>without supporting doc can only applied to one of two midterms.</w:t>
      </w:r>
    </w:p>
    <w:p w14:paraId="283EC175" w14:textId="77777777" w:rsidR="00DE4ECE" w:rsidRDefault="00DE4ECE" w:rsidP="00CA408D">
      <w:pPr>
        <w:rPr>
          <w:color w:val="000000" w:themeColor="text1"/>
        </w:rPr>
      </w:pPr>
    </w:p>
    <w:p w14:paraId="3C10DF7D" w14:textId="68733ED8" w:rsidR="008E4055" w:rsidRDefault="500D0CAB" w:rsidP="00CA408D">
      <w:pPr>
        <w:rPr>
          <w:color w:val="000000" w:themeColor="text1"/>
          <w:rtl/>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7D7432AE" w14:textId="77777777" w:rsidR="001615DC" w:rsidRDefault="001615DC" w:rsidP="00CA408D">
      <w:pPr>
        <w:rPr>
          <w:color w:val="000000" w:themeColor="text1"/>
          <w:rtl/>
        </w:rPr>
      </w:pPr>
    </w:p>
    <w:p w14:paraId="58E4A441" w14:textId="66115135" w:rsidR="001615DC" w:rsidRDefault="001615DC" w:rsidP="001615DC">
      <w:pPr>
        <w:rPr>
          <w:color w:val="000000" w:themeColor="text1"/>
        </w:rPr>
      </w:pPr>
      <w:r w:rsidRPr="001615DC">
        <w:rPr>
          <w:color w:val="000000" w:themeColor="text1"/>
        </w:rPr>
        <w:t>There will be no make-ups for Tests 1 and 2. If you miss any of the two tests due to a legitimate reason the following will apply:</w:t>
      </w:r>
      <w:r w:rsidRPr="001615DC">
        <w:rPr>
          <w:color w:val="000000" w:themeColor="text1"/>
        </w:rPr>
        <w:br/>
        <w:t>•</w:t>
      </w:r>
      <w:r w:rsidR="00643A8D">
        <w:rPr>
          <w:rFonts w:hint="cs"/>
          <w:color w:val="000000" w:themeColor="text1"/>
          <w:rtl/>
        </w:rPr>
        <w:t xml:space="preserve"> </w:t>
      </w:r>
      <w:r w:rsidRPr="001615DC">
        <w:rPr>
          <w:color w:val="000000" w:themeColor="text1"/>
        </w:rPr>
        <w:t>If Test 1 is missed, 20% will be appended to the final exam, thus making it worth 2</w:t>
      </w:r>
      <w:r>
        <w:rPr>
          <w:rFonts w:hint="cs"/>
          <w:color w:val="000000" w:themeColor="text1"/>
          <w:rtl/>
        </w:rPr>
        <w:t>2</w:t>
      </w:r>
      <w:r w:rsidRPr="001615DC">
        <w:rPr>
          <w:color w:val="000000" w:themeColor="text1"/>
        </w:rPr>
        <w:t xml:space="preserve"> + </w:t>
      </w:r>
      <w:r>
        <w:rPr>
          <w:rFonts w:hint="cs"/>
          <w:color w:val="000000" w:themeColor="text1"/>
          <w:rtl/>
        </w:rPr>
        <w:t>4</w:t>
      </w:r>
      <w:r w:rsidRPr="001615DC">
        <w:rPr>
          <w:color w:val="000000" w:themeColor="text1"/>
        </w:rPr>
        <w:t xml:space="preserve">0 = </w:t>
      </w:r>
      <w:r>
        <w:rPr>
          <w:rFonts w:hint="cs"/>
          <w:color w:val="000000" w:themeColor="text1"/>
          <w:rtl/>
        </w:rPr>
        <w:t>62</w:t>
      </w:r>
      <w:r w:rsidRPr="001615DC">
        <w:rPr>
          <w:color w:val="000000" w:themeColor="text1"/>
        </w:rPr>
        <w:t>%.</w:t>
      </w:r>
      <w:r w:rsidRPr="001615DC">
        <w:rPr>
          <w:color w:val="000000" w:themeColor="text1"/>
        </w:rPr>
        <w:br/>
        <w:t>•</w:t>
      </w:r>
      <w:r w:rsidR="00643A8D">
        <w:rPr>
          <w:rFonts w:hint="cs"/>
          <w:color w:val="000000" w:themeColor="text1"/>
          <w:rtl/>
        </w:rPr>
        <w:t xml:space="preserve"> </w:t>
      </w:r>
      <w:r w:rsidRPr="001615DC">
        <w:rPr>
          <w:color w:val="000000" w:themeColor="text1"/>
        </w:rPr>
        <w:t xml:space="preserve">If Test 2 is missed, 30% will be appended to the final exam, thus making it worth </w:t>
      </w:r>
      <w:r>
        <w:rPr>
          <w:rFonts w:hint="cs"/>
          <w:color w:val="000000" w:themeColor="text1"/>
          <w:rtl/>
        </w:rPr>
        <w:t>22</w:t>
      </w:r>
      <w:r w:rsidRPr="001615DC">
        <w:rPr>
          <w:color w:val="000000" w:themeColor="text1"/>
        </w:rPr>
        <w:t xml:space="preserve">+ </w:t>
      </w:r>
      <w:r>
        <w:rPr>
          <w:rFonts w:hint="cs"/>
          <w:color w:val="000000" w:themeColor="text1"/>
          <w:rtl/>
        </w:rPr>
        <w:t>4</w:t>
      </w:r>
      <w:r w:rsidRPr="001615DC">
        <w:rPr>
          <w:color w:val="000000" w:themeColor="text1"/>
        </w:rPr>
        <w:t xml:space="preserve">0 = </w:t>
      </w:r>
      <w:r>
        <w:rPr>
          <w:rFonts w:hint="cs"/>
          <w:color w:val="000000" w:themeColor="text1"/>
          <w:rtl/>
        </w:rPr>
        <w:t>62</w:t>
      </w:r>
      <w:r w:rsidRPr="001615DC">
        <w:rPr>
          <w:color w:val="000000" w:themeColor="text1"/>
        </w:rPr>
        <w:t>%.</w:t>
      </w:r>
      <w:r w:rsidRPr="001615DC">
        <w:rPr>
          <w:color w:val="000000" w:themeColor="text1"/>
        </w:rPr>
        <w:br/>
        <w:t>•</w:t>
      </w:r>
      <w:r w:rsidR="00643A8D">
        <w:rPr>
          <w:rFonts w:hint="cs"/>
          <w:color w:val="000000" w:themeColor="text1"/>
          <w:rtl/>
        </w:rPr>
        <w:t xml:space="preserve"> </w:t>
      </w:r>
      <w:r w:rsidRPr="001615DC">
        <w:rPr>
          <w:color w:val="000000" w:themeColor="text1"/>
        </w:rPr>
        <w:t>In the case of two missed tests, 2</w:t>
      </w:r>
      <w:r>
        <w:rPr>
          <w:rFonts w:hint="cs"/>
          <w:color w:val="000000" w:themeColor="text1"/>
          <w:rtl/>
        </w:rPr>
        <w:t>2</w:t>
      </w:r>
      <w:r w:rsidRPr="001615DC">
        <w:rPr>
          <w:color w:val="000000" w:themeColor="text1"/>
        </w:rPr>
        <w:t xml:space="preserve"> + </w:t>
      </w:r>
      <w:r>
        <w:rPr>
          <w:rFonts w:hint="cs"/>
          <w:color w:val="000000" w:themeColor="text1"/>
          <w:rtl/>
        </w:rPr>
        <w:t>22</w:t>
      </w:r>
      <w:r w:rsidRPr="001615DC">
        <w:rPr>
          <w:color w:val="000000" w:themeColor="text1"/>
        </w:rPr>
        <w:t xml:space="preserve"> = </w:t>
      </w:r>
      <w:r>
        <w:rPr>
          <w:rFonts w:hint="cs"/>
          <w:color w:val="000000" w:themeColor="text1"/>
          <w:rtl/>
        </w:rPr>
        <w:t>44</w:t>
      </w:r>
      <w:r w:rsidRPr="001615DC">
        <w:rPr>
          <w:color w:val="000000" w:themeColor="text1"/>
        </w:rPr>
        <w:t>% will be appended to the</w:t>
      </w:r>
      <w:r>
        <w:rPr>
          <w:rFonts w:hint="cs"/>
          <w:color w:val="000000" w:themeColor="text1"/>
          <w:rtl/>
        </w:rPr>
        <w:t xml:space="preserve">  </w:t>
      </w:r>
      <w:r w:rsidRPr="001615DC">
        <w:rPr>
          <w:color w:val="000000" w:themeColor="text1"/>
        </w:rPr>
        <w:t>final exam, thus making it worth 2</w:t>
      </w:r>
      <w:r w:rsidR="002B0245">
        <w:rPr>
          <w:rFonts w:hint="cs"/>
          <w:color w:val="000000" w:themeColor="text1"/>
          <w:rtl/>
        </w:rPr>
        <w:t>2</w:t>
      </w:r>
      <w:r w:rsidRPr="001615DC">
        <w:rPr>
          <w:color w:val="000000" w:themeColor="text1"/>
        </w:rPr>
        <w:t xml:space="preserve"> + </w:t>
      </w:r>
      <w:r w:rsidR="002B0245">
        <w:rPr>
          <w:rFonts w:hint="cs"/>
          <w:color w:val="000000" w:themeColor="text1"/>
          <w:rtl/>
        </w:rPr>
        <w:t>22</w:t>
      </w:r>
      <w:r w:rsidRPr="001615DC">
        <w:rPr>
          <w:color w:val="000000" w:themeColor="text1"/>
        </w:rPr>
        <w:t xml:space="preserve"> + </w:t>
      </w:r>
      <w:r w:rsidR="002B0245">
        <w:rPr>
          <w:rFonts w:hint="cs"/>
          <w:color w:val="000000" w:themeColor="text1"/>
          <w:rtl/>
        </w:rPr>
        <w:t>4</w:t>
      </w:r>
      <w:r w:rsidRPr="001615DC">
        <w:rPr>
          <w:color w:val="000000" w:themeColor="text1"/>
        </w:rPr>
        <w:t xml:space="preserve">0 = </w:t>
      </w:r>
      <w:r w:rsidR="002B0245">
        <w:rPr>
          <w:rFonts w:hint="cs"/>
          <w:color w:val="000000" w:themeColor="text1"/>
          <w:rtl/>
        </w:rPr>
        <w:t>84</w:t>
      </w:r>
      <w:r w:rsidRPr="001615DC">
        <w:rPr>
          <w:color w:val="000000" w:themeColor="text1"/>
        </w:rPr>
        <w:t>%.</w:t>
      </w:r>
    </w:p>
    <w:p w14:paraId="24842171" w14:textId="77777777" w:rsidR="008E4055" w:rsidRDefault="008E4055" w:rsidP="00CA408D">
      <w:pPr>
        <w:rPr>
          <w:color w:val="000000" w:themeColor="text1"/>
        </w:rPr>
      </w:pPr>
    </w:p>
    <w:p w14:paraId="40AFD5EB" w14:textId="3A8BA74E" w:rsidR="00FF3C4E" w:rsidRP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3CAA8E5D" w14:textId="3413AB72" w:rsidR="00534549" w:rsidRPr="00F94B85" w:rsidRDefault="00F94B85" w:rsidP="002B0245">
      <w:r w:rsidRPr="00F94B85">
        <w:rPr>
          <w:i/>
          <w:iCs/>
        </w:rPr>
        <w:t>Late assignment</w:t>
      </w:r>
      <w:r w:rsidRPr="00F94B85">
        <w:t xml:space="preserve">s: Late submissions may be submitted up to </w:t>
      </w:r>
      <w:r>
        <w:t>2</w:t>
      </w:r>
      <w:r w:rsidRPr="00F94B85">
        <w:t xml:space="preserve"> days after the deadline without penalty. After </w:t>
      </w:r>
      <w:r>
        <w:t>2</w:t>
      </w:r>
      <w:r w:rsidRPr="00F94B85">
        <w:t xml:space="preserve"> days, assignments will not be accepted and will be marked as 0. </w:t>
      </w:r>
      <w:r w:rsidR="002B0245">
        <w:rPr>
          <w:rFonts w:hint="cs"/>
          <w:rtl/>
        </w:rPr>
        <w:t xml:space="preserve"> </w:t>
      </w:r>
      <w:r w:rsidR="002B0245">
        <w:rPr>
          <w:color w:val="000000" w:themeColor="text1"/>
        </w:rPr>
        <w:t>A</w:t>
      </w:r>
      <w:r w:rsidR="002B0245" w:rsidRPr="5AFFF007">
        <w:rPr>
          <w:color w:val="000000" w:themeColor="text1"/>
        </w:rPr>
        <w:t xml:space="preserve">cademic </w:t>
      </w:r>
      <w:r w:rsidR="002B0245">
        <w:rPr>
          <w:color w:val="000000" w:themeColor="text1"/>
        </w:rPr>
        <w:t>C</w:t>
      </w:r>
      <w:r w:rsidR="002B0245" w:rsidRPr="5AFFF007">
        <w:rPr>
          <w:color w:val="000000" w:themeColor="text1"/>
        </w:rPr>
        <w:t>onsideration</w:t>
      </w:r>
      <w:r w:rsidR="002B0245" w:rsidRPr="002B0245">
        <w:t xml:space="preserve"> without supporting doc cannot be used.</w:t>
      </w:r>
      <w:r w:rsidR="002B0245" w:rsidRPr="002B0245">
        <w:t xml:space="preserve"> </w:t>
      </w:r>
      <w:r w:rsidRPr="00F94B85">
        <w:t>This does not account for accommodations. No accommodated assignments will be accepted more than one week after the assignment deadline – any accommodations that extend more than one week after the assignment deadline will result in the weight of that assignment being moved to the final exam.</w:t>
      </w:r>
    </w:p>
    <w:p w14:paraId="0C1057AC" w14:textId="77777777" w:rsidR="00F94B85" w:rsidRDefault="00F94B85" w:rsidP="00F94B85">
      <w:pPr>
        <w:rPr>
          <w:color w:val="007F00"/>
        </w:rPr>
      </w:pPr>
    </w:p>
    <w:p w14:paraId="4450A824" w14:textId="22E93606"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2"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2746111A" w14:textId="77777777" w:rsidR="00B526D1" w:rsidRDefault="00B526D1"/>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40E127D8" w14:textId="18E4D945" w:rsidR="00297CEC" w:rsidRDefault="23EEECC8" w:rsidP="00F735AF">
      <w:pPr>
        <w:spacing w:after="120"/>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0048727B" w:rsidRPr="0048727B">
        <w:t>one week prior to the writing of the test</w:t>
      </w:r>
      <w:r w:rsidR="0048727B">
        <w:t>).</w:t>
      </w:r>
      <w:r w:rsidR="006E4F11">
        <w:t xml:space="preserve"> </w:t>
      </w:r>
    </w:p>
    <w:p w14:paraId="5E032403" w14:textId="442E578A" w:rsidR="00F735AF" w:rsidRPr="00A34407" w:rsidRDefault="23EEECC8" w:rsidP="00F735AF">
      <w:pPr>
        <w:spacing w:after="120"/>
      </w:pPr>
      <w:r>
        <w:lastRenderedPageBreak/>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14:paraId="39896799" w14:textId="173B9780" w:rsidR="00F735AF" w:rsidRPr="00C169FF" w:rsidRDefault="00D674EE" w:rsidP="00F735AF">
      <w:pPr>
        <w:ind w:left="360"/>
        <w:rPr>
          <w:rFonts w:cs="Arial (Body CS)"/>
          <w:color w:val="0000FF"/>
          <w:sz w:val="22"/>
        </w:rPr>
      </w:pPr>
      <w:hyperlink r:id="rId13" w:history="1">
        <w:r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852477" w:rsidP="008D36EC">
      <w:pPr>
        <w:ind w:left="360" w:right="-13"/>
        <w:rPr>
          <w:rFonts w:eastAsia="Cambria" w:cs="Arial (Body CS)"/>
          <w:color w:val="0432FF"/>
          <w:sz w:val="22"/>
          <w:szCs w:val="22"/>
        </w:rPr>
      </w:pPr>
      <w:hyperlink r:id="rId14" w:history="1">
        <w:r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6231F94C" w14:textId="77777777" w:rsidR="00852477" w:rsidRDefault="00852477" w:rsidP="003C6E2C">
      <w:pPr>
        <w:rPr>
          <w:b/>
        </w:rPr>
      </w:pPr>
    </w:p>
    <w:p w14:paraId="4EF1E36A" w14:textId="359BFDE9" w:rsidR="00A92B9B" w:rsidRPr="00E73DBD" w:rsidRDefault="00A92B9B" w:rsidP="00A92B9B">
      <w:pPr>
        <w:ind w:right="-20"/>
        <w:rPr>
          <w:rFonts w:eastAsia="Cambria"/>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5" w:history="1">
        <w:r w:rsidR="007D2A57">
          <w:rPr>
            <w:rStyle w:val="Hyperlink"/>
            <w:rFonts w:cs="Arial (Body CS)"/>
          </w:rPr>
          <w:t>https://www.registrar.uwo.ca/</w:t>
        </w:r>
      </w:hyperlink>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278E6D24" w:rsidR="008D36EC" w:rsidRPr="00266229" w:rsidRDefault="008D36EC" w:rsidP="008D36EC">
      <w:pPr>
        <w:spacing w:after="120"/>
        <w:ind w:left="360"/>
        <w:rPr>
          <w:color w:val="0000FF"/>
        </w:rPr>
      </w:pPr>
      <w:hyperlink r:id="rId16" w:history="1">
        <w:r w:rsidRPr="00083DAF">
          <w:rPr>
            <w:rStyle w:val="Hyperlink"/>
          </w:rPr>
          <w:t>https://www.uwo.ca/univsec/pdf/policies_procedures/section1/mapp113.pdf</w:t>
        </w:r>
      </w:hyperlink>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 w14:paraId="6ACEF2A9" w14:textId="7835B91B" w:rsidR="009A1E1C" w:rsidRPr="00F94B85" w:rsidRDefault="00F94B85" w:rsidP="00F94B85">
      <w:r w:rsidRPr="00F94B85">
        <w:t>All exams are closed book, no electronic devices.</w:t>
      </w:r>
      <w:r>
        <w:t xml:space="preserve"> A non-programmable calculator is allowed in exams.</w:t>
      </w:r>
      <w:r w:rsidRPr="00F94B85">
        <w:t xml:space="preserve"> You will be required to bring your photo ID/ student card to both tests and the final exam.</w:t>
      </w:r>
    </w:p>
    <w:p w14:paraId="075D08E9" w14:textId="77777777" w:rsidR="00F94B85" w:rsidRDefault="00F94B85" w:rsidP="00F94B85"/>
    <w:p w14:paraId="1FD94F08" w14:textId="77777777" w:rsidR="00103931" w:rsidRDefault="003A1E08" w:rsidP="009C1E92">
      <w:pPr>
        <w:spacing w:after="120"/>
      </w:pPr>
      <w:r w:rsidRPr="00873BD0">
        <w:rPr>
          <w:b/>
          <w:bCs/>
        </w:rPr>
        <w:t>Scholastic offences</w:t>
      </w:r>
      <w:r w:rsidRPr="003A1E08">
        <w:t xml:space="preserve"> are taken seriously and students are directed to read the appropriate policy, specifically, the definition of what constitutes a Scholastic Offence, at the following Web site:</w:t>
      </w:r>
    </w:p>
    <w:p w14:paraId="214F3973" w14:textId="53A3B3DC" w:rsidR="00B5755B" w:rsidRPr="00266229" w:rsidRDefault="00966DA2" w:rsidP="00121B8A">
      <w:pPr>
        <w:ind w:left="360"/>
      </w:pPr>
      <w:hyperlink r:id="rId17" w:history="1">
        <w:r w:rsidRPr="00966DA2">
          <w:rPr>
            <w:rStyle w:val="Hyperlink"/>
            <w:rFonts w:cs="Arial (Body CS)"/>
          </w:rPr>
          <w:t>https://www.uwo.ca/univsec/pdf/academic_policies/appeals/scholastic_discipline_undergrad.pdf</w:t>
        </w:r>
      </w:hyperlink>
      <w:r w:rsidR="00103931" w:rsidRPr="00266229">
        <w:t xml:space="preserve">. </w:t>
      </w:r>
    </w:p>
    <w:p w14:paraId="2A39B2CE" w14:textId="77777777" w:rsidR="003C54B8" w:rsidRDefault="00F84EB9" w:rsidP="00B5755B">
      <w:pPr>
        <w:rPr>
          <w:color w:val="0432FF"/>
        </w:rPr>
      </w:pPr>
      <w:r>
        <w:rPr>
          <w:color w:val="0432FF"/>
        </w:rPr>
        <w:t xml:space="preserve"> </w:t>
      </w:r>
    </w:p>
    <w:p w14:paraId="614ACBE8" w14:textId="77777777" w:rsidR="005953FA" w:rsidRDefault="005953FA" w:rsidP="003C6E2C">
      <w:pPr>
        <w:rPr>
          <w:color w:val="0432FF"/>
        </w:rPr>
      </w:pPr>
    </w:p>
    <w:p w14:paraId="17051D86" w14:textId="04C164A2" w:rsidR="00A92B9B" w:rsidRPr="00E73DBD" w:rsidRDefault="00A92B9B" w:rsidP="00A92B9B">
      <w:pPr>
        <w:ind w:right="-20"/>
        <w:rPr>
          <w:rFonts w:eastAsia="Cambria"/>
        </w:rPr>
      </w:pPr>
      <w:r>
        <w:rPr>
          <w:rFonts w:eastAsia="Cambria"/>
          <w:b/>
          <w:bCs/>
          <w:w w:val="105"/>
        </w:rPr>
        <w:t>Support Services</w:t>
      </w:r>
    </w:p>
    <w:p w14:paraId="48C03F96" w14:textId="010FB9D4"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r:id="rId18"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Students who are in emotional/mental distress should refer to Mental Health@Western (</w:t>
      </w:r>
      <w:hyperlink r:id="rId19"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5358A8EB"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0"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0B553457"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FAEEEE7" w:rsidR="004F11B9" w:rsidRPr="004F11B9" w:rsidRDefault="004F11B9" w:rsidP="004F11B9">
      <w:pPr>
        <w:spacing w:after="120"/>
        <w:ind w:left="360"/>
        <w:rPr>
          <w:color w:val="0000FF"/>
        </w:rPr>
      </w:pPr>
      <w:hyperlink r:id="rId21" w:history="1">
        <w:r w:rsidRPr="00DE03EB">
          <w:rPr>
            <w:rStyle w:val="Hyperlink"/>
          </w:rPr>
          <w:t>http://academicsupport.uwo.ca/accessible_education/index.html</w:t>
        </w:r>
      </w:hyperlink>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25CF6DAC" w14:textId="5EC59AEF" w:rsidR="00E170A0" w:rsidRDefault="00E170A0" w:rsidP="00E170A0">
      <w:r w:rsidRPr="003C6E2C">
        <w:t xml:space="preserve">Learning-skills counsellors at </w:t>
      </w:r>
      <w:r w:rsidR="00E40E2C">
        <w:t>Learning Development and Success</w:t>
      </w:r>
      <w:r w:rsidRPr="003C6E2C">
        <w:t xml:space="preserve"> (</w:t>
      </w:r>
      <w:hyperlink r:id="rId22"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6C099C53"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23"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4" w:history="1">
        <w:r w:rsidR="0044775F" w:rsidRPr="0044775F">
          <w:rPr>
            <w:rStyle w:val="Hyperlink"/>
            <w:lang w:val="en-US"/>
          </w:rPr>
          <w:t>https://westernusc.ca/services/</w:t>
        </w:r>
      </w:hyperlink>
      <w:r w:rsidRPr="00C72B92">
        <w:rPr>
          <w:color w:val="000000" w:themeColor="text1"/>
        </w:rPr>
        <w:t>.</w:t>
      </w:r>
    </w:p>
    <w:p w14:paraId="03F2C554" w14:textId="77777777" w:rsidR="003C54B8" w:rsidRDefault="003C54B8"/>
    <w:p w14:paraId="115C88E5" w14:textId="5DD5BEE7" w:rsidR="003545EC" w:rsidRDefault="004E3776" w:rsidP="00D06DE9">
      <w:r>
        <w:t xml:space="preserve"> </w:t>
      </w:r>
    </w:p>
    <w:sectPr w:rsidR="003545EC" w:rsidSect="00D15A17">
      <w:footerReference w:type="even" r:id="rId25"/>
      <w:footerReference w:type="default" r:id="rId26"/>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B3519" w14:textId="77777777" w:rsidR="00B231A6" w:rsidRDefault="00B231A6" w:rsidP="000D3568">
      <w:r>
        <w:separator/>
      </w:r>
    </w:p>
  </w:endnote>
  <w:endnote w:type="continuationSeparator" w:id="0">
    <w:p w14:paraId="6ADE9079" w14:textId="77777777" w:rsidR="00B231A6" w:rsidRDefault="00B231A6" w:rsidP="000D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altName w:val="Calibri"/>
    <w:charset w:val="4D"/>
    <w:family w:val="swiss"/>
    <w:pitch w:val="variable"/>
    <w:sig w:usb0="00000001"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9519185"/>
      <w:docPartObj>
        <w:docPartGallery w:val="Page Numbers (Bottom of Page)"/>
        <w:docPartUnique/>
      </w:docPartObj>
    </w:sdtPr>
    <w:sdtContent>
      <w:p w14:paraId="579B276F" w14:textId="41D6930D" w:rsidR="000D3568" w:rsidRDefault="000D3568" w:rsidP="0074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91FF0" w14:textId="77777777" w:rsidR="000D3568" w:rsidRDefault="000D3568" w:rsidP="000D3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1379678"/>
      <w:docPartObj>
        <w:docPartGallery w:val="Page Numbers (Bottom of Page)"/>
        <w:docPartUnique/>
      </w:docPartObj>
    </w:sdtPr>
    <w:sdtContent>
      <w:p w14:paraId="7835CE02" w14:textId="2E86E2B1" w:rsidR="000D3568" w:rsidRDefault="000D3568" w:rsidP="0074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DF1502" w14:textId="77777777" w:rsidR="000D3568" w:rsidRDefault="000D3568" w:rsidP="000D35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C6C6" w14:textId="77777777" w:rsidR="00B231A6" w:rsidRDefault="00B231A6" w:rsidP="000D3568">
      <w:r>
        <w:separator/>
      </w:r>
    </w:p>
  </w:footnote>
  <w:footnote w:type="continuationSeparator" w:id="0">
    <w:p w14:paraId="613C5646" w14:textId="77777777" w:rsidR="00B231A6" w:rsidRDefault="00B231A6" w:rsidP="000D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1FB2"/>
    <w:multiLevelType w:val="multilevel"/>
    <w:tmpl w:val="73C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E2DA0"/>
    <w:multiLevelType w:val="hybridMultilevel"/>
    <w:tmpl w:val="A02E8FBE"/>
    <w:lvl w:ilvl="0" w:tplc="36F476C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8C3"/>
    <w:multiLevelType w:val="hybridMultilevel"/>
    <w:tmpl w:val="0B4E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C2C26"/>
    <w:multiLevelType w:val="multilevel"/>
    <w:tmpl w:val="BE4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168F4"/>
    <w:multiLevelType w:val="hybridMultilevel"/>
    <w:tmpl w:val="72884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66EF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6348269">
    <w:abstractNumId w:val="2"/>
  </w:num>
  <w:num w:numId="2" w16cid:durableId="210309378">
    <w:abstractNumId w:val="1"/>
  </w:num>
  <w:num w:numId="3" w16cid:durableId="994185698">
    <w:abstractNumId w:val="5"/>
  </w:num>
  <w:num w:numId="4" w16cid:durableId="2111125600">
    <w:abstractNumId w:val="6"/>
  </w:num>
  <w:num w:numId="5" w16cid:durableId="1824589534">
    <w:abstractNumId w:val="0"/>
  </w:num>
  <w:num w:numId="6" w16cid:durableId="643777163">
    <w:abstractNumId w:val="7"/>
  </w:num>
  <w:num w:numId="7" w16cid:durableId="2035226392">
    <w:abstractNumId w:val="8"/>
  </w:num>
  <w:num w:numId="8" w16cid:durableId="1485464661">
    <w:abstractNumId w:val="4"/>
  </w:num>
  <w:num w:numId="9" w16cid:durableId="379983938">
    <w:abstractNumId w:val="9"/>
  </w:num>
  <w:num w:numId="10" w16cid:durableId="2097482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301D0"/>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D3568"/>
    <w:rsid w:val="000E4BA4"/>
    <w:rsid w:val="000F7094"/>
    <w:rsid w:val="00102B7B"/>
    <w:rsid w:val="00102C67"/>
    <w:rsid w:val="00103931"/>
    <w:rsid w:val="00121B8A"/>
    <w:rsid w:val="00133718"/>
    <w:rsid w:val="001448F1"/>
    <w:rsid w:val="001462DE"/>
    <w:rsid w:val="00147533"/>
    <w:rsid w:val="00150DE0"/>
    <w:rsid w:val="001532E2"/>
    <w:rsid w:val="00155D4E"/>
    <w:rsid w:val="001615DC"/>
    <w:rsid w:val="00166B59"/>
    <w:rsid w:val="00177FEF"/>
    <w:rsid w:val="00181B74"/>
    <w:rsid w:val="00184D30"/>
    <w:rsid w:val="0018608B"/>
    <w:rsid w:val="001908BC"/>
    <w:rsid w:val="00192192"/>
    <w:rsid w:val="00193F63"/>
    <w:rsid w:val="001951E1"/>
    <w:rsid w:val="001A6DAD"/>
    <w:rsid w:val="001B0007"/>
    <w:rsid w:val="001B0513"/>
    <w:rsid w:val="001C0BCA"/>
    <w:rsid w:val="001D554E"/>
    <w:rsid w:val="001E1463"/>
    <w:rsid w:val="001E2348"/>
    <w:rsid w:val="001F2777"/>
    <w:rsid w:val="001F4348"/>
    <w:rsid w:val="002065A1"/>
    <w:rsid w:val="00206FDB"/>
    <w:rsid w:val="00211599"/>
    <w:rsid w:val="0022363F"/>
    <w:rsid w:val="0023027A"/>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4F0B"/>
    <w:rsid w:val="002A611F"/>
    <w:rsid w:val="002B0245"/>
    <w:rsid w:val="002B7A9E"/>
    <w:rsid w:val="002C3423"/>
    <w:rsid w:val="002D2EFB"/>
    <w:rsid w:val="002D5CA5"/>
    <w:rsid w:val="002D6C2A"/>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935C8"/>
    <w:rsid w:val="003A1E08"/>
    <w:rsid w:val="003A4361"/>
    <w:rsid w:val="003B25F7"/>
    <w:rsid w:val="003B4E1B"/>
    <w:rsid w:val="003C54B8"/>
    <w:rsid w:val="003C6E2C"/>
    <w:rsid w:val="003E0231"/>
    <w:rsid w:val="003E333C"/>
    <w:rsid w:val="003F0C6D"/>
    <w:rsid w:val="00403821"/>
    <w:rsid w:val="00403CC2"/>
    <w:rsid w:val="00405E8C"/>
    <w:rsid w:val="00407E39"/>
    <w:rsid w:val="00425381"/>
    <w:rsid w:val="00430AEB"/>
    <w:rsid w:val="00430CBF"/>
    <w:rsid w:val="004365CA"/>
    <w:rsid w:val="0043694A"/>
    <w:rsid w:val="0044775F"/>
    <w:rsid w:val="00455123"/>
    <w:rsid w:val="00470F3D"/>
    <w:rsid w:val="00475F65"/>
    <w:rsid w:val="00485550"/>
    <w:rsid w:val="0048727B"/>
    <w:rsid w:val="00492AFE"/>
    <w:rsid w:val="004A0E85"/>
    <w:rsid w:val="004B1B27"/>
    <w:rsid w:val="004B6AB1"/>
    <w:rsid w:val="004C016B"/>
    <w:rsid w:val="004C311E"/>
    <w:rsid w:val="004C3FE9"/>
    <w:rsid w:val="004D3EEA"/>
    <w:rsid w:val="004D756E"/>
    <w:rsid w:val="004E3776"/>
    <w:rsid w:val="004F11B9"/>
    <w:rsid w:val="004F1FFF"/>
    <w:rsid w:val="004F3C01"/>
    <w:rsid w:val="004F4F29"/>
    <w:rsid w:val="004F7D4A"/>
    <w:rsid w:val="00504B32"/>
    <w:rsid w:val="005104E1"/>
    <w:rsid w:val="00510EC7"/>
    <w:rsid w:val="00531567"/>
    <w:rsid w:val="00534549"/>
    <w:rsid w:val="00541B1F"/>
    <w:rsid w:val="00556ECC"/>
    <w:rsid w:val="0056647E"/>
    <w:rsid w:val="00574475"/>
    <w:rsid w:val="005773FF"/>
    <w:rsid w:val="00587074"/>
    <w:rsid w:val="00590A97"/>
    <w:rsid w:val="005953FA"/>
    <w:rsid w:val="00597639"/>
    <w:rsid w:val="00597938"/>
    <w:rsid w:val="005A4D65"/>
    <w:rsid w:val="005C1FF2"/>
    <w:rsid w:val="005D517E"/>
    <w:rsid w:val="005D51D6"/>
    <w:rsid w:val="005F122C"/>
    <w:rsid w:val="005F1956"/>
    <w:rsid w:val="00602582"/>
    <w:rsid w:val="00602718"/>
    <w:rsid w:val="006054F8"/>
    <w:rsid w:val="00610064"/>
    <w:rsid w:val="0062588C"/>
    <w:rsid w:val="006363A4"/>
    <w:rsid w:val="00637E77"/>
    <w:rsid w:val="00643A8D"/>
    <w:rsid w:val="006471DA"/>
    <w:rsid w:val="00657692"/>
    <w:rsid w:val="00681697"/>
    <w:rsid w:val="006A17AD"/>
    <w:rsid w:val="006A4040"/>
    <w:rsid w:val="006B6B23"/>
    <w:rsid w:val="006D2876"/>
    <w:rsid w:val="006D28B8"/>
    <w:rsid w:val="006E2716"/>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F42D8"/>
    <w:rsid w:val="007F629F"/>
    <w:rsid w:val="00800BF2"/>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20424"/>
    <w:rsid w:val="00921A97"/>
    <w:rsid w:val="00923DE7"/>
    <w:rsid w:val="009261E5"/>
    <w:rsid w:val="00931DCF"/>
    <w:rsid w:val="00966DA2"/>
    <w:rsid w:val="00966F69"/>
    <w:rsid w:val="009761AD"/>
    <w:rsid w:val="00980096"/>
    <w:rsid w:val="009841DC"/>
    <w:rsid w:val="009926DB"/>
    <w:rsid w:val="009A1E1C"/>
    <w:rsid w:val="009A1ECF"/>
    <w:rsid w:val="009C1E92"/>
    <w:rsid w:val="009C7507"/>
    <w:rsid w:val="009D1ED0"/>
    <w:rsid w:val="009D2AC7"/>
    <w:rsid w:val="009D571D"/>
    <w:rsid w:val="009E0FDD"/>
    <w:rsid w:val="009E5B29"/>
    <w:rsid w:val="009F1F74"/>
    <w:rsid w:val="009F463E"/>
    <w:rsid w:val="00A01568"/>
    <w:rsid w:val="00A02138"/>
    <w:rsid w:val="00A021FA"/>
    <w:rsid w:val="00A03EB9"/>
    <w:rsid w:val="00A0467B"/>
    <w:rsid w:val="00A057BB"/>
    <w:rsid w:val="00A05D8F"/>
    <w:rsid w:val="00A13725"/>
    <w:rsid w:val="00A143B4"/>
    <w:rsid w:val="00A2310E"/>
    <w:rsid w:val="00A34407"/>
    <w:rsid w:val="00A4093D"/>
    <w:rsid w:val="00A411D6"/>
    <w:rsid w:val="00A53992"/>
    <w:rsid w:val="00A53DA7"/>
    <w:rsid w:val="00A72780"/>
    <w:rsid w:val="00A83929"/>
    <w:rsid w:val="00A84D9F"/>
    <w:rsid w:val="00A915C7"/>
    <w:rsid w:val="00A9170C"/>
    <w:rsid w:val="00A92B9B"/>
    <w:rsid w:val="00A93A92"/>
    <w:rsid w:val="00AA4030"/>
    <w:rsid w:val="00AA5E12"/>
    <w:rsid w:val="00AC7C0C"/>
    <w:rsid w:val="00AD390A"/>
    <w:rsid w:val="00AD70A6"/>
    <w:rsid w:val="00AE213B"/>
    <w:rsid w:val="00AE2BFD"/>
    <w:rsid w:val="00AE2E28"/>
    <w:rsid w:val="00AF03C1"/>
    <w:rsid w:val="00AF1222"/>
    <w:rsid w:val="00AF5B18"/>
    <w:rsid w:val="00B018DB"/>
    <w:rsid w:val="00B01AE0"/>
    <w:rsid w:val="00B1296A"/>
    <w:rsid w:val="00B1618A"/>
    <w:rsid w:val="00B17CD5"/>
    <w:rsid w:val="00B22850"/>
    <w:rsid w:val="00B231A6"/>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C169FF"/>
    <w:rsid w:val="00C22C65"/>
    <w:rsid w:val="00C25D9E"/>
    <w:rsid w:val="00C41206"/>
    <w:rsid w:val="00C5116C"/>
    <w:rsid w:val="00C5190A"/>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2F68"/>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811"/>
    <w:rsid w:val="00D56C10"/>
    <w:rsid w:val="00D60E36"/>
    <w:rsid w:val="00D674EE"/>
    <w:rsid w:val="00D7028B"/>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73DBD"/>
    <w:rsid w:val="00E747BB"/>
    <w:rsid w:val="00E84519"/>
    <w:rsid w:val="00E84F2E"/>
    <w:rsid w:val="00E85AA5"/>
    <w:rsid w:val="00E925CE"/>
    <w:rsid w:val="00EA5868"/>
    <w:rsid w:val="00EA7C54"/>
    <w:rsid w:val="00EB0085"/>
    <w:rsid w:val="00EB6248"/>
    <w:rsid w:val="00EB6FC6"/>
    <w:rsid w:val="00EC4A59"/>
    <w:rsid w:val="00EC6474"/>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4B85"/>
    <w:rsid w:val="00F97D01"/>
    <w:rsid w:val="00F97EAD"/>
    <w:rsid w:val="00FB2A3C"/>
    <w:rsid w:val="00FC5AE5"/>
    <w:rsid w:val="00FD7980"/>
    <w:rsid w:val="00FE2186"/>
    <w:rsid w:val="00FE2ECB"/>
    <w:rsid w:val="00FF1510"/>
    <w:rsid w:val="00FF369B"/>
    <w:rsid w:val="00FF3C4E"/>
    <w:rsid w:val="0169CF09"/>
    <w:rsid w:val="01A6DCBF"/>
    <w:rsid w:val="04CC3E15"/>
    <w:rsid w:val="070C1E82"/>
    <w:rsid w:val="07EE0094"/>
    <w:rsid w:val="13D03E06"/>
    <w:rsid w:val="17B91C26"/>
    <w:rsid w:val="1809F0DF"/>
    <w:rsid w:val="1D18CF8C"/>
    <w:rsid w:val="1EE5917F"/>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3C564B7"/>
    <w:rsid w:val="672E7350"/>
    <w:rsid w:val="67DF503C"/>
    <w:rsid w:val="68B032BE"/>
    <w:rsid w:val="6990CFA8"/>
    <w:rsid w:val="6B97B878"/>
    <w:rsid w:val="6C395A01"/>
    <w:rsid w:val="6DEFD458"/>
    <w:rsid w:val="7205D003"/>
    <w:rsid w:val="744F1201"/>
    <w:rsid w:val="774F6C3F"/>
    <w:rsid w:val="78AA6560"/>
    <w:rsid w:val="79C465B6"/>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Footer">
    <w:name w:val="footer"/>
    <w:basedOn w:val="Normal"/>
    <w:link w:val="FooterChar"/>
    <w:uiPriority w:val="99"/>
    <w:unhideWhenUsed/>
    <w:rsid w:val="000D3568"/>
    <w:pPr>
      <w:tabs>
        <w:tab w:val="center" w:pos="4680"/>
        <w:tab w:val="right" w:pos="9360"/>
      </w:tabs>
    </w:pPr>
  </w:style>
  <w:style w:type="character" w:customStyle="1" w:styleId="FooterChar">
    <w:name w:val="Footer Char"/>
    <w:basedOn w:val="DefaultParagraphFont"/>
    <w:link w:val="Footer"/>
    <w:uiPriority w:val="99"/>
    <w:rsid w:val="000D3568"/>
    <w:rPr>
      <w:rFonts w:ascii="Times New Roman" w:eastAsia="Times New Roman" w:hAnsi="Times New Roman" w:cs="Times New Roman"/>
      <w:lang w:val="en-CA" w:eastAsia="zh-CN"/>
    </w:rPr>
  </w:style>
  <w:style w:type="character" w:styleId="PageNumber">
    <w:name w:val="page number"/>
    <w:basedOn w:val="DefaultParagraphFont"/>
    <w:uiPriority w:val="99"/>
    <w:semiHidden/>
    <w:unhideWhenUsed/>
    <w:rsid w:val="000D3568"/>
  </w:style>
  <w:style w:type="paragraph" w:customStyle="1" w:styleId="Default">
    <w:name w:val="Default"/>
    <w:rsid w:val="00192192"/>
    <w:pPr>
      <w:autoSpaceDE w:val="0"/>
      <w:autoSpaceDN w:val="0"/>
      <w:adjustRightInd w:val="0"/>
    </w:pPr>
    <w:rPr>
      <w:rFonts w:ascii="Times New Roman" w:hAnsi="Times New Roman" w:cs="Times New Roman"/>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958">
      <w:bodyDiv w:val="1"/>
      <w:marLeft w:val="0"/>
      <w:marRight w:val="0"/>
      <w:marTop w:val="0"/>
      <w:marBottom w:val="0"/>
      <w:divBdr>
        <w:top w:val="none" w:sz="0" w:space="0" w:color="auto"/>
        <w:left w:val="none" w:sz="0" w:space="0" w:color="auto"/>
        <w:bottom w:val="none" w:sz="0" w:space="0" w:color="auto"/>
        <w:right w:val="none" w:sz="0" w:space="0" w:color="auto"/>
      </w:divBdr>
    </w:div>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351801312">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990">
      <w:bodyDiv w:val="1"/>
      <w:marLeft w:val="0"/>
      <w:marRight w:val="0"/>
      <w:marTop w:val="0"/>
      <w:marBottom w:val="0"/>
      <w:divBdr>
        <w:top w:val="none" w:sz="0" w:space="0" w:color="auto"/>
        <w:left w:val="none" w:sz="0" w:space="0" w:color="auto"/>
        <w:bottom w:val="none" w:sz="0" w:space="0" w:color="auto"/>
        <w:right w:val="none" w:sz="0" w:space="0" w:color="auto"/>
      </w:divBdr>
      <w:divsChild>
        <w:div w:id="1411777257">
          <w:marLeft w:val="720"/>
          <w:marRight w:val="0"/>
          <w:marTop w:val="0"/>
          <w:marBottom w:val="240"/>
          <w:divBdr>
            <w:top w:val="none" w:sz="0" w:space="0" w:color="auto"/>
            <w:left w:val="none" w:sz="0" w:space="0" w:color="auto"/>
            <w:bottom w:val="none" w:sz="0" w:space="0" w:color="auto"/>
            <w:right w:val="none" w:sz="0" w:space="0" w:color="auto"/>
          </w:divBdr>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53044267">
      <w:bodyDiv w:val="1"/>
      <w:marLeft w:val="0"/>
      <w:marRight w:val="0"/>
      <w:marTop w:val="0"/>
      <w:marBottom w:val="0"/>
      <w:divBdr>
        <w:top w:val="none" w:sz="0" w:space="0" w:color="auto"/>
        <w:left w:val="none" w:sz="0" w:space="0" w:color="auto"/>
        <w:bottom w:val="none" w:sz="0" w:space="0" w:color="auto"/>
        <w:right w:val="none" w:sz="0" w:space="0" w:color="auto"/>
      </w:divBdr>
      <w:divsChild>
        <w:div w:id="1010522735">
          <w:marLeft w:val="720"/>
          <w:marRight w:val="0"/>
          <w:marTop w:val="0"/>
          <w:marBottom w:val="0"/>
          <w:divBdr>
            <w:top w:val="none" w:sz="0" w:space="0" w:color="auto"/>
            <w:left w:val="none" w:sz="0" w:space="0" w:color="auto"/>
            <w:bottom w:val="none" w:sz="0" w:space="0" w:color="auto"/>
            <w:right w:val="none" w:sz="0" w:space="0" w:color="auto"/>
          </w:divBdr>
        </w:div>
      </w:divsChild>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spacehelp.uwo.ca/" TargetMode="External"/><Relationship Id="rId13" Type="http://schemas.openxmlformats.org/officeDocument/2006/relationships/hyperlink" Target="https://www.edi.uwo.ca/" TargetMode="External"/><Relationship Id="rId18" Type="http://schemas.openxmlformats.org/officeDocument/2006/relationships/hyperlink" Target="https://www.uwo.ca/sci/counsell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academicsupport.uwo.ca/accessible_education/index.html" TargetMode="External"/><Relationship Id="rId7" Type="http://schemas.openxmlformats.org/officeDocument/2006/relationships/image" Target="media/image1.png"/><Relationship Id="rId12" Type="http://schemas.openxmlformats.org/officeDocument/2006/relationships/hyperlink" Target="https://www.westerncalendar.uwo.ca/PolicyPages.cfm?Command=showCategory&amp;PolicyCategoryID=5&amp;SelectedCalendar=Live&amp;ArchiveID=" TargetMode="External"/><Relationship Id="rId17" Type="http://schemas.openxmlformats.org/officeDocument/2006/relationships/hyperlink" Target="https://www.uwo.ca/univsec/pdf/academic_policies/appeals/scholastic_discipline_undergrad.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wo.ca/univsec/pdf/policies_procedures/section1/mapp113.pdf" TargetMode="External"/><Relationship Id="rId20" Type="http://schemas.openxmlformats.org/officeDocument/2006/relationships/hyperlink" Target="https://www.uwo.ca/health/student_support/survivor_support/get-help.html"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wo.ca/academics/academic_considerations/" TargetMode="External"/><Relationship Id="rId24" Type="http://schemas.openxmlformats.org/officeDocument/2006/relationships/hyperlink" Target="https://westernusc.ca/services/" TargetMode="External"/><Relationship Id="rId5" Type="http://schemas.openxmlformats.org/officeDocument/2006/relationships/footnotes" Target="footnotes.xml"/><Relationship Id="rId15" Type="http://schemas.openxmlformats.org/officeDocument/2006/relationships/hyperlink" Target="https://www.registrar.uwo.ca/" TargetMode="External"/><Relationship Id="rId23" Type="http://schemas.openxmlformats.org/officeDocument/2006/relationships/hyperlink" Target="https://www.uwo.ca/se/digital/" TargetMode="External"/><Relationship Id="rId28" Type="http://schemas.openxmlformats.org/officeDocument/2006/relationships/theme" Target="theme/theme1.xml"/><Relationship Id="rId10" Type="http://schemas.openxmlformats.org/officeDocument/2006/relationships/hyperlink" Target="http://academicsupport.uwo.ca/accessible_education/" TargetMode="External"/><Relationship Id="rId19" Type="http://schemas.openxmlformats.org/officeDocument/2006/relationships/hyperlink" Target="https://uwo.ca/health/"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uwo.ca/univsec/pdf/academic_policies/appeals/academic_consideration_Sep24.pdf" TargetMode="External"/><Relationship Id="rId14" Type="http://schemas.openxmlformats.org/officeDocument/2006/relationships/hyperlink" Target="https://www.uwo.ca/univsec/pdf/academic_policies/appeals/Academic%20Accommodation_disabilities.pdf" TargetMode="External"/><Relationship Id="rId22" Type="http://schemas.openxmlformats.org/officeDocument/2006/relationships/hyperlink" Target="https://learning.uwo.ca/"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5CB68-8C13-4C83-8D58-5C5A333230FF}"/>
</file>

<file path=customXml/itemProps2.xml><?xml version="1.0" encoding="utf-8"?>
<ds:datastoreItem xmlns:ds="http://schemas.openxmlformats.org/officeDocument/2006/customXml" ds:itemID="{DFEB61FE-0397-42D8-A951-AC512EB0783D}"/>
</file>

<file path=customXml/itemProps3.xml><?xml version="1.0" encoding="utf-8"?>
<ds:datastoreItem xmlns:ds="http://schemas.openxmlformats.org/officeDocument/2006/customXml" ds:itemID="{25D25E66-E6BD-4CC6-8E3C-12783F4B61A0}"/>
</file>

<file path=docProps/app.xml><?xml version="1.0" encoding="utf-8"?>
<Properties xmlns="http://schemas.openxmlformats.org/officeDocument/2006/extended-properties" xmlns:vt="http://schemas.openxmlformats.org/officeDocument/2006/docPropsVTypes">
  <Template>Normal</Template>
  <TotalTime>33</TotalTime>
  <Pages>6</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Mohsen Mollahajiaghaei</cp:lastModifiedBy>
  <cp:revision>196</cp:revision>
  <dcterms:created xsi:type="dcterms:W3CDTF">2024-05-03T09:23:00Z</dcterms:created>
  <dcterms:modified xsi:type="dcterms:W3CDTF">2025-01-02T15:34:00Z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