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B96F" w14:textId="520D6105"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rPr>
        <w:drawing>
          <wp:anchor distT="0" distB="0" distL="114300" distR="114300" simplePos="0" relativeHeight="251658240" behindDoc="1" locked="0" layoutInCell="1" allowOverlap="1" wp14:anchorId="329F9858" wp14:editId="53DB4F2D">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E7F">
        <w:rPr>
          <w:rFonts w:ascii="Avenir" w:hAnsi="Avenir" w:cs="Calibri"/>
          <w:b/>
          <w:color w:val="4F2683"/>
          <w:sz w:val="22"/>
          <w:szCs w:val="22"/>
        </w:rPr>
        <w:t xml:space="preserve">Department of </w:t>
      </w:r>
      <w:r w:rsidR="001445AB">
        <w:rPr>
          <w:rFonts w:ascii="Avenir" w:hAnsi="Avenir" w:cs="Calibri"/>
          <w:b/>
          <w:color w:val="4F2683"/>
          <w:sz w:val="22"/>
          <w:szCs w:val="22"/>
        </w:rPr>
        <w:t>Statistical and Actuarial Sciences</w:t>
      </w:r>
      <w:r w:rsidRPr="00CE3E7F">
        <w:rPr>
          <w:rFonts w:ascii="Avenir" w:hAnsi="Avenir" w:cs="Calibri"/>
          <w:b/>
          <w:color w:val="4F2683"/>
          <w:sz w:val="22"/>
          <w:szCs w:val="22"/>
        </w:rPr>
        <w:fldChar w:fldCharType="begin"/>
      </w:r>
      <w:r w:rsidR="005B232E">
        <w:rPr>
          <w:rFonts w:ascii="Avenir" w:hAnsi="Avenir" w:cs="Calibri"/>
          <w:b/>
          <w:color w:val="4F2683"/>
          <w:sz w:val="22"/>
          <w:szCs w:val="22"/>
        </w:rPr>
        <w:instrText xml:space="preserve"> INCLUDEPICTURE "https://uwoca-my.sharepoint.com/var/folders/8p/r6vl783d6qg828r38lvg32ch0000gn/T/com.microsoft.Word/WebArchiveCopyPasteTempFiles/Sci_Stacked_PurpleGrey.png" \* MERGEFORMAT </w:instrText>
      </w:r>
      <w:r w:rsidRPr="00CE3E7F">
        <w:rPr>
          <w:rFonts w:ascii="Avenir" w:hAnsi="Avenir" w:cs="Calibri"/>
          <w:b/>
          <w:color w:val="4F2683"/>
          <w:sz w:val="22"/>
          <w:szCs w:val="22"/>
        </w:rPr>
        <w:fldChar w:fldCharType="end"/>
      </w:r>
    </w:p>
    <w:p w14:paraId="0448B69C" w14:textId="77777777" w:rsidR="00CE3E7F" w:rsidRDefault="00CE3E7F" w:rsidP="00CF2B11">
      <w:pPr>
        <w:rPr>
          <w:b/>
          <w:bCs/>
        </w:rPr>
      </w:pPr>
    </w:p>
    <w:p w14:paraId="44E419CB" w14:textId="77777777" w:rsidR="00CE3E7F" w:rsidRDefault="00CE3E7F" w:rsidP="00CF2B11">
      <w:pPr>
        <w:rPr>
          <w:b/>
          <w:bCs/>
        </w:rPr>
      </w:pPr>
    </w:p>
    <w:p w14:paraId="5C5614CF" w14:textId="2CA36E4A" w:rsidR="002B5500" w:rsidRPr="00D1202A" w:rsidRDefault="002B5500" w:rsidP="002B5500">
      <w:pPr>
        <w:widowControl w:val="0"/>
        <w:spacing w:after="240"/>
        <w:ind w:right="-715"/>
        <w:jc w:val="center"/>
        <w:rPr>
          <w:rFonts w:ascii="Arial" w:hAnsi="Arial" w:cs="Arial"/>
          <w:sz w:val="36"/>
          <w:szCs w:val="36"/>
        </w:rPr>
      </w:pPr>
      <w:r w:rsidRPr="00D1202A">
        <w:rPr>
          <w:rFonts w:ascii="Arial" w:hAnsi="Arial" w:cs="Arial"/>
          <w:b/>
          <w:bCs/>
          <w:color w:val="3F6CAF"/>
          <w:sz w:val="36"/>
          <w:szCs w:val="36"/>
        </w:rPr>
        <w:t>FM 9528A Banking Analytics</w:t>
      </w:r>
    </w:p>
    <w:p w14:paraId="6D69298E" w14:textId="61C395A9" w:rsidR="002B5500" w:rsidRPr="00D45F26" w:rsidRDefault="002B5500" w:rsidP="002B5500">
      <w:pPr>
        <w:spacing w:line="276" w:lineRule="auto"/>
        <w:ind w:right="-425"/>
        <w:jc w:val="center"/>
        <w:rPr>
          <w:rFonts w:ascii="Arial" w:hAnsi="Arial" w:cs="Arial"/>
          <w:b/>
          <w:bCs/>
          <w:sz w:val="32"/>
          <w:szCs w:val="32"/>
        </w:rPr>
      </w:pPr>
      <w:r w:rsidRPr="00D45F26">
        <w:rPr>
          <w:rFonts w:ascii="Arial" w:hAnsi="Arial" w:cs="Arial"/>
          <w:b/>
          <w:bCs/>
          <w:sz w:val="32"/>
          <w:szCs w:val="32"/>
        </w:rPr>
        <w:t xml:space="preserve">Course outline for </w:t>
      </w:r>
      <w:r w:rsidR="00AA527F">
        <w:rPr>
          <w:rFonts w:ascii="Arial" w:hAnsi="Arial" w:cs="Arial"/>
          <w:b/>
          <w:bCs/>
          <w:sz w:val="32"/>
          <w:szCs w:val="32"/>
        </w:rPr>
        <w:t xml:space="preserve">Winter </w:t>
      </w:r>
      <w:r w:rsidR="005E181F">
        <w:rPr>
          <w:rFonts w:ascii="Arial" w:hAnsi="Arial" w:cs="Arial"/>
          <w:b/>
          <w:bCs/>
          <w:sz w:val="32"/>
          <w:szCs w:val="32"/>
        </w:rPr>
        <w:t>2024</w:t>
      </w:r>
    </w:p>
    <w:p w14:paraId="5C3666B2" w14:textId="77777777" w:rsidR="00D872FD" w:rsidRDefault="00D872FD"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04168503" w14:textId="77777777" w:rsidR="003F0C6D" w:rsidRDefault="003F0C6D" w:rsidP="00CF2B11">
      <w:pPr>
        <w:rPr>
          <w:bCs/>
        </w:rPr>
      </w:pPr>
      <w:r w:rsidRPr="00CF2B11">
        <w:rPr>
          <w:b/>
          <w:bCs/>
        </w:rPr>
        <w:t>Course Information</w:t>
      </w:r>
      <w:r>
        <w:rPr>
          <w:bCs/>
        </w:rPr>
        <w:t xml:space="preserve"> </w:t>
      </w:r>
    </w:p>
    <w:p w14:paraId="73FF0D4D" w14:textId="77777777" w:rsidR="00525135" w:rsidRPr="00525135" w:rsidRDefault="00525135" w:rsidP="00525135">
      <w:pPr>
        <w:pStyle w:val="ListParagraph"/>
        <w:ind w:left="0" w:right="-291"/>
        <w:jc w:val="both"/>
        <w:rPr>
          <w:rFonts w:cstheme="minorHAnsi"/>
          <w:bCs/>
        </w:rPr>
      </w:pPr>
      <w:r w:rsidRPr="00525135">
        <w:rPr>
          <w:rFonts w:cstheme="minorHAnsi"/>
          <w:bCs/>
        </w:rPr>
        <w:t>This course will give students a mix of knowledge and practice in the use of business analytics tools, from using Excel for pricing a bond and calculating credit risk, to advanced deep learning models which will provide tools to tackle sophisticated problems using the latest computational tools. These models will be applied to several business problems within modern financial institutions, covering topics such as credit scoring, LGD and EAD modelling, and advanced models to extract complex non-linear patterns from large amounts of diverse data in topics such as collections, consumer fraud and other applications. The focus will be on the underlying principles, modelling methodologies, and implementation using appropriate software packages.</w:t>
      </w:r>
    </w:p>
    <w:p w14:paraId="1AAE3A90" w14:textId="77777777" w:rsidR="00525135" w:rsidRPr="00525135" w:rsidRDefault="00525135" w:rsidP="00525135">
      <w:pPr>
        <w:pStyle w:val="ListParagraph"/>
        <w:ind w:left="0" w:right="-291"/>
        <w:jc w:val="both"/>
        <w:rPr>
          <w:rFonts w:cstheme="minorHAnsi"/>
          <w:bCs/>
        </w:rPr>
      </w:pPr>
    </w:p>
    <w:p w14:paraId="36AC804A" w14:textId="5B5638A8" w:rsidR="009F131E" w:rsidRDefault="009F131E" w:rsidP="00525135">
      <w:pPr>
        <w:pStyle w:val="ListParagraph"/>
        <w:ind w:left="0" w:right="-291"/>
        <w:jc w:val="both"/>
        <w:rPr>
          <w:rFonts w:cstheme="minorHAnsi"/>
          <w:bCs/>
        </w:rPr>
      </w:pPr>
      <w:r>
        <w:rPr>
          <w:rFonts w:cstheme="minorHAnsi"/>
          <w:bCs/>
        </w:rPr>
        <w:t>Mondays 8</w:t>
      </w:r>
      <w:r w:rsidRPr="00525135">
        <w:rPr>
          <w:rFonts w:cstheme="minorHAnsi"/>
          <w:bCs/>
        </w:rPr>
        <w:t xml:space="preserve">:30 </w:t>
      </w:r>
      <w:r>
        <w:rPr>
          <w:rFonts w:cstheme="minorHAnsi"/>
          <w:bCs/>
        </w:rPr>
        <w:t>a</w:t>
      </w:r>
      <w:r w:rsidRPr="00525135">
        <w:rPr>
          <w:rFonts w:cstheme="minorHAnsi"/>
          <w:bCs/>
        </w:rPr>
        <w:t xml:space="preserve">.m – </w:t>
      </w:r>
      <w:r>
        <w:rPr>
          <w:rFonts w:cstheme="minorHAnsi"/>
          <w:bCs/>
        </w:rPr>
        <w:t>9:30</w:t>
      </w:r>
      <w:r w:rsidRPr="00525135">
        <w:rPr>
          <w:rFonts w:cstheme="minorHAnsi"/>
          <w:bCs/>
        </w:rPr>
        <w:t xml:space="preserve"> </w:t>
      </w:r>
      <w:r>
        <w:rPr>
          <w:rFonts w:cstheme="minorHAnsi"/>
          <w:bCs/>
        </w:rPr>
        <w:t>a</w:t>
      </w:r>
      <w:r w:rsidRPr="00525135">
        <w:rPr>
          <w:rFonts w:cstheme="minorHAnsi"/>
          <w:bCs/>
        </w:rPr>
        <w:t xml:space="preserve">.m. </w:t>
      </w:r>
      <w:r w:rsidRPr="00351754">
        <w:rPr>
          <w:rFonts w:cstheme="minorHAnsi"/>
          <w:bCs/>
        </w:rPr>
        <w:t>WSC 24</w:t>
      </w:r>
      <w:r>
        <w:rPr>
          <w:rFonts w:cstheme="minorHAnsi"/>
          <w:bCs/>
        </w:rPr>
        <w:t xml:space="preserve">8. </w:t>
      </w:r>
      <w:r w:rsidRPr="00525135">
        <w:rPr>
          <w:rFonts w:cstheme="minorHAnsi"/>
          <w:bCs/>
        </w:rPr>
        <w:t>In-person</w:t>
      </w:r>
      <w:r>
        <w:rPr>
          <w:rFonts w:cstheme="minorHAnsi"/>
          <w:bCs/>
        </w:rPr>
        <w:t>.</w:t>
      </w:r>
    </w:p>
    <w:p w14:paraId="290955E5" w14:textId="493B6DE7" w:rsidR="00525135" w:rsidRPr="00525135" w:rsidRDefault="00AA527F" w:rsidP="00525135">
      <w:pPr>
        <w:pStyle w:val="ListParagraph"/>
        <w:ind w:left="0" w:right="-291"/>
        <w:jc w:val="both"/>
        <w:rPr>
          <w:rFonts w:cstheme="minorHAnsi"/>
          <w:bCs/>
        </w:rPr>
      </w:pPr>
      <w:r>
        <w:rPr>
          <w:rFonts w:cstheme="minorHAnsi"/>
          <w:bCs/>
        </w:rPr>
        <w:t xml:space="preserve">Tuesdays </w:t>
      </w:r>
      <w:r w:rsidR="009F131E">
        <w:rPr>
          <w:rFonts w:cstheme="minorHAnsi"/>
          <w:bCs/>
        </w:rPr>
        <w:t>8</w:t>
      </w:r>
      <w:r w:rsidR="00525135" w:rsidRPr="00525135">
        <w:rPr>
          <w:rFonts w:cstheme="minorHAnsi"/>
          <w:bCs/>
        </w:rPr>
        <w:t xml:space="preserve">:30 </w:t>
      </w:r>
      <w:r w:rsidR="009F131E">
        <w:rPr>
          <w:rFonts w:cstheme="minorHAnsi"/>
          <w:bCs/>
        </w:rPr>
        <w:t>a</w:t>
      </w:r>
      <w:r w:rsidR="00525135" w:rsidRPr="00525135">
        <w:rPr>
          <w:rFonts w:cstheme="minorHAnsi"/>
          <w:bCs/>
        </w:rPr>
        <w:t xml:space="preserve">.m – </w:t>
      </w:r>
      <w:r w:rsidR="009F131E">
        <w:rPr>
          <w:rFonts w:cstheme="minorHAnsi"/>
          <w:bCs/>
        </w:rPr>
        <w:t>9</w:t>
      </w:r>
      <w:r>
        <w:rPr>
          <w:rFonts w:cstheme="minorHAnsi"/>
          <w:bCs/>
        </w:rPr>
        <w:t>:30</w:t>
      </w:r>
      <w:r w:rsidR="00525135" w:rsidRPr="00525135">
        <w:rPr>
          <w:rFonts w:cstheme="minorHAnsi"/>
          <w:bCs/>
        </w:rPr>
        <w:t xml:space="preserve"> </w:t>
      </w:r>
      <w:r w:rsidR="009F131E">
        <w:rPr>
          <w:rFonts w:cstheme="minorHAnsi"/>
          <w:bCs/>
        </w:rPr>
        <w:t>a</w:t>
      </w:r>
      <w:r w:rsidR="00525135" w:rsidRPr="00525135">
        <w:rPr>
          <w:rFonts w:cstheme="minorHAnsi"/>
          <w:bCs/>
        </w:rPr>
        <w:t xml:space="preserve">.m. </w:t>
      </w:r>
      <w:r w:rsidR="00351754" w:rsidRPr="00351754">
        <w:rPr>
          <w:rFonts w:cstheme="minorHAnsi"/>
          <w:bCs/>
        </w:rPr>
        <w:t>WSC 24</w:t>
      </w:r>
      <w:r w:rsidR="002C5ED2">
        <w:rPr>
          <w:rFonts w:cstheme="minorHAnsi"/>
          <w:bCs/>
        </w:rPr>
        <w:t>8</w:t>
      </w:r>
      <w:r w:rsidR="00351754">
        <w:rPr>
          <w:rFonts w:cstheme="minorHAnsi"/>
          <w:bCs/>
        </w:rPr>
        <w:t xml:space="preserve">. </w:t>
      </w:r>
      <w:r w:rsidR="00525135" w:rsidRPr="00525135">
        <w:rPr>
          <w:rFonts w:cstheme="minorHAnsi"/>
          <w:bCs/>
        </w:rPr>
        <w:t>In-person</w:t>
      </w:r>
      <w:r>
        <w:rPr>
          <w:rFonts w:cstheme="minorHAnsi"/>
          <w:bCs/>
        </w:rPr>
        <w:t>.</w:t>
      </w:r>
    </w:p>
    <w:p w14:paraId="6630F2C7" w14:textId="02B0F17C" w:rsidR="00525135" w:rsidRPr="00525135" w:rsidRDefault="009F131E" w:rsidP="00525135">
      <w:pPr>
        <w:pStyle w:val="ListParagraph"/>
        <w:ind w:left="0" w:right="-291"/>
        <w:jc w:val="both"/>
        <w:rPr>
          <w:rFonts w:cstheme="minorHAnsi"/>
          <w:bCs/>
        </w:rPr>
      </w:pPr>
      <w:r>
        <w:rPr>
          <w:rFonts w:cstheme="minorHAnsi"/>
          <w:bCs/>
        </w:rPr>
        <w:t>Wednesdays</w:t>
      </w:r>
      <w:r w:rsidR="00525135" w:rsidRPr="00525135">
        <w:rPr>
          <w:rFonts w:cstheme="minorHAnsi"/>
          <w:bCs/>
        </w:rPr>
        <w:t xml:space="preserve"> </w:t>
      </w:r>
      <w:r>
        <w:rPr>
          <w:rFonts w:cstheme="minorHAnsi"/>
          <w:bCs/>
        </w:rPr>
        <w:t>8</w:t>
      </w:r>
      <w:r w:rsidRPr="00525135">
        <w:rPr>
          <w:rFonts w:cstheme="minorHAnsi"/>
          <w:bCs/>
        </w:rPr>
        <w:t xml:space="preserve">:30 </w:t>
      </w:r>
      <w:r>
        <w:rPr>
          <w:rFonts w:cstheme="minorHAnsi"/>
          <w:bCs/>
        </w:rPr>
        <w:t>a</w:t>
      </w:r>
      <w:r w:rsidRPr="00525135">
        <w:rPr>
          <w:rFonts w:cstheme="minorHAnsi"/>
          <w:bCs/>
        </w:rPr>
        <w:t xml:space="preserve">.m – </w:t>
      </w:r>
      <w:r>
        <w:rPr>
          <w:rFonts w:cstheme="minorHAnsi"/>
          <w:bCs/>
        </w:rPr>
        <w:t>9:30</w:t>
      </w:r>
      <w:r w:rsidRPr="00525135">
        <w:rPr>
          <w:rFonts w:cstheme="minorHAnsi"/>
          <w:bCs/>
        </w:rPr>
        <w:t xml:space="preserve"> </w:t>
      </w:r>
      <w:r>
        <w:rPr>
          <w:rFonts w:cstheme="minorHAnsi"/>
          <w:bCs/>
        </w:rPr>
        <w:t>a</w:t>
      </w:r>
      <w:r w:rsidRPr="00525135">
        <w:rPr>
          <w:rFonts w:cstheme="minorHAnsi"/>
          <w:bCs/>
        </w:rPr>
        <w:t>.m</w:t>
      </w:r>
      <w:r w:rsidR="00525135" w:rsidRPr="00525135">
        <w:rPr>
          <w:rFonts w:cstheme="minorHAnsi"/>
          <w:bCs/>
        </w:rPr>
        <w:t xml:space="preserve">. </w:t>
      </w:r>
      <w:r w:rsidR="00351754" w:rsidRPr="00351754">
        <w:rPr>
          <w:rFonts w:cstheme="minorHAnsi"/>
          <w:bCs/>
        </w:rPr>
        <w:t>WSC 24</w:t>
      </w:r>
      <w:r w:rsidR="002C5ED2">
        <w:rPr>
          <w:rFonts w:cstheme="minorHAnsi"/>
          <w:bCs/>
        </w:rPr>
        <w:t>8</w:t>
      </w:r>
      <w:r w:rsidR="00351754">
        <w:rPr>
          <w:rFonts w:cstheme="minorHAnsi"/>
          <w:bCs/>
        </w:rPr>
        <w:t xml:space="preserve">. </w:t>
      </w:r>
      <w:r w:rsidR="00525135" w:rsidRPr="00525135">
        <w:rPr>
          <w:rFonts w:cstheme="minorHAnsi"/>
          <w:bCs/>
        </w:rPr>
        <w:t>In-perso</w:t>
      </w:r>
      <w:r w:rsidR="00AA527F">
        <w:rPr>
          <w:rFonts w:cstheme="minorHAnsi"/>
          <w:bCs/>
        </w:rPr>
        <w:t>n</w:t>
      </w:r>
      <w:r w:rsidR="00525135" w:rsidRPr="00525135">
        <w:rPr>
          <w:rFonts w:cstheme="minorHAnsi"/>
          <w:bCs/>
        </w:rPr>
        <w:t>.</w:t>
      </w:r>
    </w:p>
    <w:p w14:paraId="73A08504" w14:textId="77777777" w:rsidR="00CF2B11" w:rsidRPr="00CF2B11" w:rsidRDefault="00CF2B11" w:rsidP="00CF2B11">
      <w:pPr>
        <w:rPr>
          <w:bCs/>
        </w:rPr>
      </w:pPr>
    </w:p>
    <w:p w14:paraId="701BECC0" w14:textId="55F1CB89" w:rsidR="003F0C6D" w:rsidRDefault="00681697" w:rsidP="00CF2B11">
      <w:pPr>
        <w:rPr>
          <w:bCs/>
        </w:rPr>
      </w:pPr>
      <w:r>
        <w:rPr>
          <w:b/>
          <w:bCs/>
        </w:rPr>
        <w:t xml:space="preserve">List of </w:t>
      </w:r>
      <w:r w:rsidR="003F0C6D" w:rsidRPr="003F0C6D">
        <w:rPr>
          <w:b/>
          <w:bCs/>
        </w:rPr>
        <w:t>Prerequisite</w:t>
      </w:r>
      <w:r>
        <w:rPr>
          <w:b/>
          <w:bCs/>
        </w:rPr>
        <w:t>s</w:t>
      </w:r>
    </w:p>
    <w:p w14:paraId="03827691" w14:textId="3F0B5B83" w:rsidR="00CC56B9" w:rsidRDefault="00CC56B9" w:rsidP="00CF2B11">
      <w:pPr>
        <w:rPr>
          <w:bCs/>
          <w:color w:val="0432FF"/>
        </w:rPr>
      </w:pPr>
    </w:p>
    <w:p w14:paraId="1962A45A" w14:textId="77777777" w:rsidR="00CB6796" w:rsidRPr="00CB6796" w:rsidRDefault="00CB6796" w:rsidP="00CB6796">
      <w:pPr>
        <w:rPr>
          <w:bCs/>
        </w:rPr>
      </w:pPr>
      <w:r w:rsidRPr="00CB6796">
        <w:rPr>
          <w:bCs/>
        </w:rPr>
        <w:t>No courses are required.</w:t>
      </w:r>
    </w:p>
    <w:p w14:paraId="7847C657" w14:textId="77777777" w:rsidR="00CB6796" w:rsidRPr="00CB6796" w:rsidRDefault="00CB6796" w:rsidP="00CB6796">
      <w:pPr>
        <w:rPr>
          <w:bCs/>
        </w:rPr>
      </w:pPr>
    </w:p>
    <w:p w14:paraId="630C47AA" w14:textId="1246415C" w:rsidR="003F0C6D" w:rsidRDefault="00CB6796" w:rsidP="00CB6796">
      <w:pPr>
        <w:rPr>
          <w:bCs/>
        </w:rPr>
      </w:pPr>
      <w:r w:rsidRPr="00CB6796">
        <w:rPr>
          <w:bCs/>
        </w:rPr>
        <w:t xml:space="preserve">Basic financial and statistical knowledge is required to understand the concepts and underlying mathematical processes. Previous programming experience required, but not in Python. Resources will be provided to learn the language we will use during the course. The course assumes </w:t>
      </w:r>
      <w:r w:rsidR="00BA4A91">
        <w:rPr>
          <w:bCs/>
        </w:rPr>
        <w:t xml:space="preserve">a </w:t>
      </w:r>
      <w:r w:rsidRPr="00CB6796">
        <w:rPr>
          <w:bCs/>
        </w:rPr>
        <w:t xml:space="preserve">working knowledge of any other programming language (C, C++, R, Matlab, etc.) but no Python knowledge. The course will cover Excel and Python, with tutorials and online resources to support the analyses.  </w:t>
      </w: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t>2. Instructor Information</w:t>
      </w:r>
    </w:p>
    <w:tbl>
      <w:tblPr>
        <w:tblStyle w:val="TableGrid"/>
        <w:tblW w:w="10066" w:type="dxa"/>
        <w:tblInd w:w="-714" w:type="dxa"/>
        <w:tblLook w:val="04A0" w:firstRow="1" w:lastRow="0" w:firstColumn="1" w:lastColumn="0" w:noHBand="0" w:noVBand="1"/>
      </w:tblPr>
      <w:tblGrid>
        <w:gridCol w:w="1377"/>
        <w:gridCol w:w="8689"/>
      </w:tblGrid>
      <w:tr w:rsidR="00BA3420" w:rsidRPr="00BA3420" w14:paraId="7A9B47A6" w14:textId="77777777" w:rsidTr="00D1202A">
        <w:trPr>
          <w:trHeight w:val="2296"/>
        </w:trPr>
        <w:tc>
          <w:tcPr>
            <w:tcW w:w="1377" w:type="dxa"/>
            <w:tcBorders>
              <w:top w:val="nil"/>
              <w:left w:val="nil"/>
              <w:bottom w:val="nil"/>
              <w:right w:val="nil"/>
            </w:tcBorders>
            <w:shd w:val="clear" w:color="auto" w:fill="auto"/>
          </w:tcPr>
          <w:p w14:paraId="622596F4" w14:textId="35972B6C" w:rsidR="00BA3420" w:rsidRPr="00BA3420" w:rsidRDefault="00CF2B11" w:rsidP="006C4871">
            <w:pPr>
              <w:ind w:right="-291"/>
              <w:rPr>
                <w:rFonts w:eastAsia="Times New Roman" w:cstheme="minorHAnsi"/>
                <w:b/>
              </w:rPr>
            </w:pPr>
            <w:r w:rsidRPr="003F0C6D">
              <w:rPr>
                <w:b/>
                <w:bCs/>
              </w:rPr>
              <w:br/>
            </w:r>
          </w:p>
          <w:p w14:paraId="571CE734" w14:textId="77777777" w:rsidR="00BA3420" w:rsidRPr="00BA3420" w:rsidRDefault="00BA3420" w:rsidP="006C4871">
            <w:pPr>
              <w:ind w:right="-291"/>
              <w:rPr>
                <w:rFonts w:eastAsia="Times New Roman" w:cstheme="minorHAnsi"/>
                <w:b/>
              </w:rPr>
            </w:pPr>
          </w:p>
          <w:p w14:paraId="0ADEAA8F" w14:textId="77777777" w:rsidR="00BA3420" w:rsidRPr="00BA3420" w:rsidRDefault="00BA3420" w:rsidP="006C4871">
            <w:pPr>
              <w:ind w:right="-291"/>
              <w:rPr>
                <w:rFonts w:eastAsia="Times New Roman" w:cstheme="minorHAnsi"/>
                <w:b/>
              </w:rPr>
            </w:pPr>
            <w:r w:rsidRPr="00BA3420">
              <w:rPr>
                <w:rFonts w:eastAsia="Times New Roman" w:cstheme="minorHAnsi"/>
                <w:b/>
                <w:noProof/>
              </w:rPr>
              <w:drawing>
                <wp:anchor distT="0" distB="0" distL="114300" distR="114300" simplePos="0" relativeHeight="251662336" behindDoc="0" locked="0" layoutInCell="1" allowOverlap="1" wp14:anchorId="4894F018" wp14:editId="14CB9B4B">
                  <wp:simplePos x="0" y="0"/>
                  <wp:positionH relativeFrom="margin">
                    <wp:posOffset>-13970</wp:posOffset>
                  </wp:positionH>
                  <wp:positionV relativeFrom="margin">
                    <wp:posOffset>510540</wp:posOffset>
                  </wp:positionV>
                  <wp:extent cx="737235" cy="737235"/>
                  <wp:effectExtent l="0" t="0" r="0" b="0"/>
                  <wp:wrapSquare wrapText="bothSides"/>
                  <wp:docPr id="10" name="Graphic 2" descr="Employe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2" descr="Employee badge"/>
                          <pic:cNvPicPr>
                            <a:picLocks noChangeAspect="1" noChangeArrowheads="1"/>
                          </pic:cNvPicPr>
                        </pic:nvPicPr>
                        <pic:blipFill>
                          <a:blip r:embed="rId6"/>
                          <a:stretch>
                            <a:fillRect/>
                          </a:stretch>
                        </pic:blipFill>
                        <pic:spPr bwMode="auto">
                          <a:xfrm>
                            <a:off x="0" y="0"/>
                            <a:ext cx="737235" cy="737235"/>
                          </a:xfrm>
                          <a:prstGeom prst="rect">
                            <a:avLst/>
                          </a:prstGeom>
                        </pic:spPr>
                      </pic:pic>
                    </a:graphicData>
                  </a:graphic>
                </wp:anchor>
              </w:drawing>
            </w:r>
          </w:p>
        </w:tc>
        <w:tc>
          <w:tcPr>
            <w:tcW w:w="8689" w:type="dxa"/>
            <w:tcBorders>
              <w:top w:val="nil"/>
              <w:left w:val="nil"/>
              <w:bottom w:val="nil"/>
              <w:right w:val="nil"/>
            </w:tcBorders>
            <w:shd w:val="clear" w:color="auto" w:fill="auto"/>
          </w:tcPr>
          <w:p w14:paraId="1B41DC4F" w14:textId="77777777" w:rsidR="00BA3420" w:rsidRPr="00BA3420" w:rsidRDefault="00BA3420" w:rsidP="006C4871">
            <w:pPr>
              <w:ind w:right="-291"/>
              <w:rPr>
                <w:rFonts w:eastAsia="Times New Roman" w:cstheme="minorHAnsi"/>
                <w:b/>
              </w:rPr>
            </w:pPr>
          </w:p>
          <w:tbl>
            <w:tblPr>
              <w:tblStyle w:val="TableGrid"/>
              <w:tblW w:w="8463" w:type="dxa"/>
              <w:tblCellMar>
                <w:left w:w="103" w:type="dxa"/>
              </w:tblCellMar>
              <w:tblLook w:val="04A0" w:firstRow="1" w:lastRow="0" w:firstColumn="1" w:lastColumn="0" w:noHBand="0" w:noVBand="1"/>
            </w:tblPr>
            <w:tblGrid>
              <w:gridCol w:w="4211"/>
              <w:gridCol w:w="4252"/>
            </w:tblGrid>
            <w:tr w:rsidR="00BA3420" w:rsidRPr="00BA3420" w14:paraId="2DA91178" w14:textId="77777777" w:rsidTr="006C4871">
              <w:tc>
                <w:tcPr>
                  <w:tcW w:w="4211" w:type="dxa"/>
                  <w:shd w:val="clear" w:color="auto" w:fill="auto"/>
                </w:tcPr>
                <w:p w14:paraId="48AD8A8E" w14:textId="77777777" w:rsidR="00BA3420" w:rsidRPr="00BA3420" w:rsidRDefault="00BA3420" w:rsidP="006C4871">
                  <w:pPr>
                    <w:ind w:right="-291"/>
                    <w:rPr>
                      <w:rFonts w:eastAsia="Times New Roman" w:cstheme="minorHAnsi"/>
                      <w:b/>
                    </w:rPr>
                  </w:pPr>
                  <w:r w:rsidRPr="00BA3420">
                    <w:rPr>
                      <w:rFonts w:eastAsia="Times New Roman" w:cstheme="minorHAnsi"/>
                      <w:b/>
                    </w:rPr>
                    <w:t>Course Coordinator</w:t>
                  </w:r>
                </w:p>
              </w:tc>
              <w:tc>
                <w:tcPr>
                  <w:tcW w:w="4251" w:type="dxa"/>
                  <w:shd w:val="clear" w:color="auto" w:fill="auto"/>
                </w:tcPr>
                <w:p w14:paraId="44A94AD8" w14:textId="77777777" w:rsidR="00BA3420" w:rsidRPr="00BA3420" w:rsidRDefault="00BA3420" w:rsidP="006C4871">
                  <w:pPr>
                    <w:ind w:right="-291"/>
                    <w:rPr>
                      <w:rFonts w:eastAsia="Times New Roman" w:cstheme="minorHAnsi"/>
                      <w:b/>
                    </w:rPr>
                  </w:pPr>
                  <w:r w:rsidRPr="00BA3420">
                    <w:rPr>
                      <w:rFonts w:eastAsia="Times New Roman" w:cstheme="minorHAnsi"/>
                      <w:b/>
                    </w:rPr>
                    <w:t>Contact Information</w:t>
                  </w:r>
                </w:p>
              </w:tc>
            </w:tr>
            <w:tr w:rsidR="00BA3420" w:rsidRPr="00BA3420" w14:paraId="34F87F38" w14:textId="77777777" w:rsidTr="006C4871">
              <w:tc>
                <w:tcPr>
                  <w:tcW w:w="4211" w:type="dxa"/>
                  <w:shd w:val="clear" w:color="auto" w:fill="auto"/>
                </w:tcPr>
                <w:p w14:paraId="4A0FE9A2" w14:textId="5856A8E4" w:rsidR="00BA3420" w:rsidRPr="00BA3420" w:rsidRDefault="005E181F" w:rsidP="006C4871">
                  <w:pPr>
                    <w:ind w:right="-291"/>
                    <w:rPr>
                      <w:rFonts w:eastAsia="Times New Roman" w:cstheme="minorHAnsi"/>
                      <w:bCs/>
                    </w:rPr>
                  </w:pPr>
                  <w:r>
                    <w:rPr>
                      <w:rFonts w:eastAsia="Times New Roman" w:cstheme="minorHAnsi"/>
                      <w:bCs/>
                    </w:rPr>
                    <w:t>Daniel Abib</w:t>
                  </w:r>
                </w:p>
              </w:tc>
              <w:tc>
                <w:tcPr>
                  <w:tcW w:w="4251" w:type="dxa"/>
                  <w:shd w:val="clear" w:color="auto" w:fill="auto"/>
                </w:tcPr>
                <w:p w14:paraId="5F82B8CD" w14:textId="06C95132" w:rsidR="00BA3420" w:rsidRPr="00BA3420" w:rsidRDefault="005E181F" w:rsidP="006C4871">
                  <w:pPr>
                    <w:ind w:right="-291"/>
                    <w:rPr>
                      <w:rFonts w:eastAsia="Times New Roman" w:cstheme="minorHAnsi"/>
                      <w:bCs/>
                      <w:lang w:val="en-GB"/>
                    </w:rPr>
                  </w:pPr>
                  <w:r>
                    <w:rPr>
                      <w:rFonts w:eastAsia="Times New Roman" w:cstheme="minorHAnsi"/>
                      <w:bCs/>
                    </w:rPr>
                    <w:t>dbarboza</w:t>
                  </w:r>
                  <w:r w:rsidR="00BA3420" w:rsidRPr="00BA3420">
                    <w:rPr>
                      <w:rFonts w:eastAsia="Times New Roman" w:cstheme="minorHAnsi"/>
                      <w:bCs/>
                      <w:lang w:val="en-GB"/>
                    </w:rPr>
                    <w:t>@uwo.ca</w:t>
                  </w:r>
                </w:p>
              </w:tc>
            </w:tr>
          </w:tbl>
          <w:p w14:paraId="3C354CA7" w14:textId="77777777" w:rsidR="00BA3420" w:rsidRPr="00BA3420" w:rsidRDefault="00BA3420" w:rsidP="006C4871">
            <w:pPr>
              <w:ind w:right="-291"/>
              <w:rPr>
                <w:rFonts w:eastAsia="Times New Roman" w:cstheme="minorHAnsi"/>
                <w:b/>
              </w:rPr>
            </w:pPr>
          </w:p>
          <w:tbl>
            <w:tblPr>
              <w:tblStyle w:val="TableGrid"/>
              <w:tblW w:w="8462" w:type="dxa"/>
              <w:tblCellMar>
                <w:left w:w="103" w:type="dxa"/>
              </w:tblCellMar>
              <w:tblLook w:val="04A0" w:firstRow="1" w:lastRow="0" w:firstColumn="1" w:lastColumn="0" w:noHBand="0" w:noVBand="1"/>
            </w:tblPr>
            <w:tblGrid>
              <w:gridCol w:w="4232"/>
              <w:gridCol w:w="4230"/>
            </w:tblGrid>
            <w:tr w:rsidR="00BA3420" w:rsidRPr="00BA3420" w14:paraId="7D3401F5" w14:textId="77777777" w:rsidTr="006C4871">
              <w:tc>
                <w:tcPr>
                  <w:tcW w:w="4232" w:type="dxa"/>
                  <w:shd w:val="clear" w:color="auto" w:fill="auto"/>
                </w:tcPr>
                <w:p w14:paraId="63CA7D2E" w14:textId="77777777" w:rsidR="00BA3420" w:rsidRPr="00BA3420" w:rsidRDefault="00BA3420" w:rsidP="006C4871">
                  <w:pPr>
                    <w:ind w:right="-291"/>
                    <w:rPr>
                      <w:rFonts w:eastAsia="Times New Roman" w:cstheme="minorHAnsi"/>
                      <w:b/>
                    </w:rPr>
                  </w:pPr>
                  <w:r w:rsidRPr="00BA3420">
                    <w:rPr>
                      <w:rFonts w:eastAsia="Times New Roman" w:cstheme="minorHAnsi"/>
                      <w:b/>
                    </w:rPr>
                    <w:t>Instructor(s) or Teaching Assistant(s)</w:t>
                  </w:r>
                </w:p>
              </w:tc>
              <w:tc>
                <w:tcPr>
                  <w:tcW w:w="4230" w:type="dxa"/>
                  <w:shd w:val="clear" w:color="auto" w:fill="auto"/>
                </w:tcPr>
                <w:p w14:paraId="6A3137BB" w14:textId="77777777" w:rsidR="00BA3420" w:rsidRPr="00BA3420" w:rsidRDefault="00BA3420" w:rsidP="006C4871">
                  <w:pPr>
                    <w:ind w:right="-291"/>
                    <w:rPr>
                      <w:rFonts w:eastAsia="Times New Roman" w:cstheme="minorHAnsi"/>
                      <w:b/>
                    </w:rPr>
                  </w:pPr>
                  <w:r w:rsidRPr="00BA3420">
                    <w:rPr>
                      <w:rFonts w:eastAsia="Times New Roman" w:cstheme="minorHAnsi"/>
                      <w:b/>
                    </w:rPr>
                    <w:t>Contact Information</w:t>
                  </w:r>
                </w:p>
              </w:tc>
            </w:tr>
            <w:tr w:rsidR="00BA3420" w:rsidRPr="00AF7EB3" w14:paraId="2137EB63" w14:textId="77777777" w:rsidTr="006C4871">
              <w:tc>
                <w:tcPr>
                  <w:tcW w:w="4232" w:type="dxa"/>
                  <w:shd w:val="clear" w:color="auto" w:fill="auto"/>
                </w:tcPr>
                <w:p w14:paraId="4F3C0BF7" w14:textId="6D966B0C" w:rsidR="00BA3420" w:rsidRPr="00BA3420" w:rsidRDefault="00382087" w:rsidP="006C4871">
                  <w:pPr>
                    <w:ind w:right="-291"/>
                    <w:rPr>
                      <w:rFonts w:eastAsia="Times New Roman" w:cstheme="minorHAnsi"/>
                      <w:bCs/>
                    </w:rPr>
                  </w:pPr>
                  <w:r>
                    <w:rPr>
                      <w:rFonts w:eastAsia="Times New Roman" w:cstheme="minorHAnsi"/>
                      <w:bCs/>
                    </w:rPr>
                    <w:t>Mahsa Tavakoli</w:t>
                  </w:r>
                </w:p>
              </w:tc>
              <w:tc>
                <w:tcPr>
                  <w:tcW w:w="4230" w:type="dxa"/>
                  <w:shd w:val="clear" w:color="auto" w:fill="auto"/>
                </w:tcPr>
                <w:p w14:paraId="4DA3D53A" w14:textId="6820D213" w:rsidR="00BA3420" w:rsidRPr="00AF7EB3" w:rsidRDefault="00AF7EB3" w:rsidP="006C4871">
                  <w:pPr>
                    <w:ind w:right="-291"/>
                    <w:rPr>
                      <w:rFonts w:eastAsia="Times New Roman" w:cstheme="minorHAnsi"/>
                      <w:bCs/>
                      <w:lang w:val="fr-FR"/>
                    </w:rPr>
                  </w:pPr>
                  <w:r w:rsidRPr="00AF7EB3">
                    <w:rPr>
                      <w:rFonts w:eastAsia="Times New Roman" w:cstheme="minorHAnsi"/>
                      <w:bCs/>
                      <w:lang w:val="fr-FR"/>
                    </w:rPr>
                    <w:t>mtavako5@uwo.ca</w:t>
                  </w:r>
                </w:p>
              </w:tc>
            </w:tr>
          </w:tbl>
          <w:p w14:paraId="794DFC38" w14:textId="77777777" w:rsidR="00BA3420" w:rsidRPr="00AF7EB3" w:rsidRDefault="00BA3420" w:rsidP="006C4871">
            <w:pPr>
              <w:rPr>
                <w:rFonts w:eastAsia="Times New Roman" w:cstheme="minorHAnsi"/>
                <w:b/>
                <w:lang w:val="fr-FR"/>
              </w:rPr>
            </w:pPr>
          </w:p>
          <w:tbl>
            <w:tblPr>
              <w:tblStyle w:val="TableGrid"/>
              <w:tblW w:w="8463" w:type="dxa"/>
              <w:tblCellMar>
                <w:left w:w="103" w:type="dxa"/>
              </w:tblCellMar>
              <w:tblLook w:val="04A0" w:firstRow="1" w:lastRow="0" w:firstColumn="1" w:lastColumn="0" w:noHBand="0" w:noVBand="1"/>
            </w:tblPr>
            <w:tblGrid>
              <w:gridCol w:w="3476"/>
              <w:gridCol w:w="2232"/>
              <w:gridCol w:w="2755"/>
            </w:tblGrid>
            <w:tr w:rsidR="00BA3420" w:rsidRPr="00BA3420" w14:paraId="127F774D" w14:textId="77777777" w:rsidTr="006C4871">
              <w:tc>
                <w:tcPr>
                  <w:tcW w:w="3476" w:type="dxa"/>
                  <w:shd w:val="clear" w:color="auto" w:fill="auto"/>
                </w:tcPr>
                <w:p w14:paraId="3FD1E695" w14:textId="77777777" w:rsidR="00BA3420" w:rsidRPr="00BA3420" w:rsidRDefault="00BA3420" w:rsidP="006C4871">
                  <w:pPr>
                    <w:ind w:right="-291"/>
                    <w:rPr>
                      <w:rFonts w:eastAsia="Times New Roman" w:cstheme="minorHAnsi"/>
                      <w:b/>
                    </w:rPr>
                  </w:pPr>
                  <w:r w:rsidRPr="00BA3420">
                    <w:rPr>
                      <w:rFonts w:eastAsia="Times New Roman" w:cstheme="minorHAnsi"/>
                      <w:b/>
                    </w:rPr>
                    <w:t>Office Hours</w:t>
                  </w:r>
                </w:p>
              </w:tc>
              <w:tc>
                <w:tcPr>
                  <w:tcW w:w="2232" w:type="dxa"/>
                  <w:shd w:val="clear" w:color="auto" w:fill="auto"/>
                </w:tcPr>
                <w:p w14:paraId="7287ADE1" w14:textId="77777777" w:rsidR="00BA3420" w:rsidRPr="00BA3420" w:rsidRDefault="00BA3420" w:rsidP="006C4871">
                  <w:pPr>
                    <w:ind w:right="-291"/>
                    <w:rPr>
                      <w:rFonts w:eastAsia="Times New Roman" w:cstheme="minorHAnsi"/>
                      <w:b/>
                    </w:rPr>
                  </w:pPr>
                  <w:r w:rsidRPr="00BA3420">
                    <w:rPr>
                      <w:rFonts w:eastAsia="Times New Roman" w:cstheme="minorHAnsi"/>
                      <w:b/>
                    </w:rPr>
                    <w:t>Method</w:t>
                  </w:r>
                </w:p>
              </w:tc>
              <w:tc>
                <w:tcPr>
                  <w:tcW w:w="2755" w:type="dxa"/>
                </w:tcPr>
                <w:p w14:paraId="5A268314" w14:textId="77777777" w:rsidR="00BA3420" w:rsidRPr="00BA3420" w:rsidRDefault="00BA3420" w:rsidP="006C4871">
                  <w:pPr>
                    <w:ind w:right="-291"/>
                    <w:rPr>
                      <w:rFonts w:eastAsia="Times New Roman" w:cstheme="minorHAnsi"/>
                      <w:b/>
                    </w:rPr>
                  </w:pPr>
                  <w:r w:rsidRPr="00BA3420">
                    <w:rPr>
                      <w:rFonts w:eastAsia="Times New Roman" w:cstheme="minorHAnsi"/>
                      <w:b/>
                    </w:rPr>
                    <w:t>Names</w:t>
                  </w:r>
                </w:p>
              </w:tc>
            </w:tr>
            <w:tr w:rsidR="00BA3420" w:rsidRPr="00BA3420" w14:paraId="15AA752B" w14:textId="77777777" w:rsidTr="006C4871">
              <w:tc>
                <w:tcPr>
                  <w:tcW w:w="3476" w:type="dxa"/>
                  <w:shd w:val="clear" w:color="auto" w:fill="auto"/>
                </w:tcPr>
                <w:p w14:paraId="3F108111" w14:textId="4C968133" w:rsidR="00BA3420" w:rsidRPr="00BA3420" w:rsidRDefault="005E181F" w:rsidP="006C4871">
                  <w:pPr>
                    <w:ind w:right="-291"/>
                    <w:rPr>
                      <w:rFonts w:eastAsia="Times New Roman" w:cstheme="minorHAnsi"/>
                      <w:bCs/>
                    </w:rPr>
                  </w:pPr>
                  <w:r>
                    <w:rPr>
                      <w:rFonts w:eastAsia="Times New Roman" w:cstheme="minorHAnsi"/>
                      <w:bCs/>
                    </w:rPr>
                    <w:t>TBD</w:t>
                  </w:r>
                </w:p>
              </w:tc>
              <w:tc>
                <w:tcPr>
                  <w:tcW w:w="2232" w:type="dxa"/>
                  <w:shd w:val="clear" w:color="auto" w:fill="auto"/>
                </w:tcPr>
                <w:p w14:paraId="77343693" w14:textId="3A4DD088" w:rsidR="00BA3420" w:rsidRPr="00BA3420" w:rsidRDefault="005D6CC7" w:rsidP="006C4871">
                  <w:pPr>
                    <w:tabs>
                      <w:tab w:val="left" w:pos="2648"/>
                    </w:tabs>
                    <w:ind w:right="-291"/>
                    <w:rPr>
                      <w:rFonts w:eastAsia="Times New Roman" w:cstheme="minorHAnsi"/>
                      <w:bCs/>
                    </w:rPr>
                  </w:pPr>
                  <w:r>
                    <w:rPr>
                      <w:rFonts w:eastAsia="Times New Roman" w:cstheme="minorHAnsi"/>
                      <w:bCs/>
                    </w:rPr>
                    <w:t>In-Person</w:t>
                  </w:r>
                  <w:r w:rsidR="00500023">
                    <w:rPr>
                      <w:rFonts w:eastAsia="Times New Roman" w:cstheme="minorHAnsi"/>
                      <w:bCs/>
                    </w:rPr>
                    <w:t xml:space="preserve"> WSC </w:t>
                  </w:r>
                  <w:r w:rsidR="005E181F">
                    <w:rPr>
                      <w:rFonts w:eastAsia="Times New Roman" w:cstheme="minorHAnsi"/>
                      <w:bCs/>
                    </w:rPr>
                    <w:t>180</w:t>
                  </w:r>
                </w:p>
              </w:tc>
              <w:tc>
                <w:tcPr>
                  <w:tcW w:w="2755" w:type="dxa"/>
                </w:tcPr>
                <w:p w14:paraId="291E9798" w14:textId="46AA910D" w:rsidR="00BA3420" w:rsidRPr="00BA3420" w:rsidRDefault="00E42472" w:rsidP="006C4871">
                  <w:pPr>
                    <w:ind w:right="-291"/>
                    <w:rPr>
                      <w:rFonts w:eastAsia="Times New Roman" w:cstheme="minorHAnsi"/>
                      <w:bCs/>
                      <w:lang w:val="es-CL"/>
                    </w:rPr>
                  </w:pPr>
                  <w:r>
                    <w:rPr>
                      <w:rFonts w:eastAsia="Times New Roman" w:cstheme="minorHAnsi"/>
                      <w:bCs/>
                    </w:rPr>
                    <w:t>Daniel</w:t>
                  </w:r>
                </w:p>
              </w:tc>
            </w:tr>
            <w:tr w:rsidR="00BA3420" w:rsidRPr="00BA3420" w14:paraId="780039FE" w14:textId="77777777" w:rsidTr="006C4871">
              <w:tc>
                <w:tcPr>
                  <w:tcW w:w="3476" w:type="dxa"/>
                  <w:shd w:val="clear" w:color="auto" w:fill="auto"/>
                </w:tcPr>
                <w:p w14:paraId="475DA905" w14:textId="6E31901F" w:rsidR="00BA3420" w:rsidRPr="00BA3420" w:rsidRDefault="005E181F" w:rsidP="006C4871">
                  <w:pPr>
                    <w:ind w:right="-291"/>
                    <w:rPr>
                      <w:rFonts w:eastAsia="Times New Roman" w:cstheme="minorHAnsi"/>
                      <w:bCs/>
                    </w:rPr>
                  </w:pPr>
                  <w:r>
                    <w:rPr>
                      <w:rFonts w:eastAsia="Times New Roman" w:cstheme="minorHAnsi"/>
                      <w:bCs/>
                    </w:rPr>
                    <w:t>TBD</w:t>
                  </w:r>
                </w:p>
              </w:tc>
              <w:tc>
                <w:tcPr>
                  <w:tcW w:w="2232" w:type="dxa"/>
                  <w:shd w:val="clear" w:color="auto" w:fill="auto"/>
                </w:tcPr>
                <w:p w14:paraId="6F29F9B5" w14:textId="6FEE9F24" w:rsidR="00BA3420" w:rsidRPr="00BA3420" w:rsidRDefault="00F74634" w:rsidP="006C4871">
                  <w:pPr>
                    <w:ind w:right="-291"/>
                    <w:rPr>
                      <w:rFonts w:eastAsia="Times New Roman" w:cstheme="minorHAnsi"/>
                      <w:bCs/>
                    </w:rPr>
                  </w:pPr>
                  <w:r>
                    <w:rPr>
                      <w:rFonts w:eastAsia="Times New Roman" w:cstheme="minorHAnsi"/>
                      <w:bCs/>
                    </w:rPr>
                    <w:t>In-Person</w:t>
                  </w:r>
                  <w:r w:rsidR="00500023">
                    <w:rPr>
                      <w:rFonts w:eastAsia="Times New Roman" w:cstheme="minorHAnsi"/>
                      <w:bCs/>
                    </w:rPr>
                    <w:t xml:space="preserve"> WSC 263</w:t>
                  </w:r>
                </w:p>
              </w:tc>
              <w:tc>
                <w:tcPr>
                  <w:tcW w:w="2755" w:type="dxa"/>
                </w:tcPr>
                <w:p w14:paraId="385D8D3D" w14:textId="5608C974" w:rsidR="00BA3420" w:rsidRPr="00BA3420" w:rsidRDefault="00AF7EB3" w:rsidP="006C4871">
                  <w:pPr>
                    <w:ind w:right="-291"/>
                    <w:rPr>
                      <w:rFonts w:eastAsia="Times New Roman" w:cstheme="minorHAnsi"/>
                      <w:bCs/>
                    </w:rPr>
                  </w:pPr>
                  <w:r>
                    <w:rPr>
                      <w:rFonts w:eastAsia="Times New Roman" w:cstheme="minorHAnsi"/>
                      <w:bCs/>
                    </w:rPr>
                    <w:t>Mahsa</w:t>
                  </w:r>
                </w:p>
              </w:tc>
            </w:tr>
          </w:tbl>
          <w:p w14:paraId="3BBDC780" w14:textId="77777777" w:rsidR="00BA3420" w:rsidRPr="00BA3420" w:rsidRDefault="00BA3420" w:rsidP="006C4871">
            <w:pPr>
              <w:rPr>
                <w:rFonts w:eastAsia="Times New Roman" w:cstheme="minorHAnsi"/>
                <w:b/>
              </w:rPr>
            </w:pPr>
          </w:p>
        </w:tc>
      </w:tr>
    </w:tbl>
    <w:p w14:paraId="32189674" w14:textId="77777777" w:rsidR="00BA3420" w:rsidRPr="00BA3420" w:rsidRDefault="00BA3420" w:rsidP="00BA3420">
      <w:pPr>
        <w:rPr>
          <w:rFonts w:cstheme="minorHAnsi"/>
          <w:b/>
        </w:rPr>
      </w:pPr>
    </w:p>
    <w:p w14:paraId="2A8D3D0A" w14:textId="5971792A" w:rsidR="00597639" w:rsidRPr="005D6CC7" w:rsidRDefault="00BA3420" w:rsidP="00845B86">
      <w:pPr>
        <w:rPr>
          <w:rFonts w:cstheme="minorHAnsi"/>
          <w:bCs/>
        </w:rPr>
      </w:pPr>
      <w:r w:rsidRPr="00BA3420">
        <w:rPr>
          <w:rFonts w:cstheme="minorHAnsi"/>
          <w:bCs/>
        </w:rPr>
        <w:t xml:space="preserve">Students must use their Western (@uwo.ca) email addresses when contacting their instructors. We strive to answer all emails within 24 business hours. </w:t>
      </w:r>
    </w:p>
    <w:p w14:paraId="3FAD6DD5" w14:textId="77777777" w:rsidR="00597639" w:rsidRDefault="00597639" w:rsidP="00845B86">
      <w:pPr>
        <w:rPr>
          <w:b/>
          <w:bCs/>
          <w:sz w:val="36"/>
          <w:szCs w:val="36"/>
        </w:rPr>
      </w:pPr>
    </w:p>
    <w:p w14:paraId="0BC79226" w14:textId="4F7829B1" w:rsidR="00F7237B" w:rsidRPr="00391F9A" w:rsidRDefault="00B451DA" w:rsidP="00391F9A">
      <w:pPr>
        <w:rPr>
          <w:b/>
          <w:bCs/>
        </w:rPr>
      </w:pPr>
      <w:r w:rsidRPr="008C038D">
        <w:rPr>
          <w:b/>
          <w:bCs/>
          <w:sz w:val="36"/>
          <w:szCs w:val="36"/>
        </w:rPr>
        <w:t xml:space="preserve">3. Course </w:t>
      </w:r>
      <w:r>
        <w:rPr>
          <w:b/>
          <w:bCs/>
          <w:sz w:val="36"/>
          <w:szCs w:val="36"/>
        </w:rPr>
        <w:t>Syllabus, Schedule, Delivery Mode</w:t>
      </w:r>
      <w:r w:rsidR="00CF2B11" w:rsidRPr="00845B86">
        <w:rPr>
          <w:b/>
          <w:bCs/>
        </w:rPr>
        <w:br/>
      </w:r>
    </w:p>
    <w:p w14:paraId="023E768D" w14:textId="77777777" w:rsidR="00F7237B" w:rsidRPr="00391F9A" w:rsidRDefault="00F7237B" w:rsidP="00F7237B">
      <w:pPr>
        <w:rPr>
          <w:rFonts w:cstheme="minorHAnsi"/>
          <w:bCs/>
        </w:rPr>
      </w:pPr>
      <w:r w:rsidRPr="00391F9A">
        <w:rPr>
          <w:rFonts w:cstheme="minorHAnsi"/>
          <w:bCs/>
        </w:rPr>
        <w:t>The topics covered in this module will include:</w:t>
      </w:r>
    </w:p>
    <w:p w14:paraId="3156C249" w14:textId="77777777" w:rsidR="00F7237B" w:rsidRPr="00391F9A" w:rsidRDefault="00F7237B" w:rsidP="00F7237B">
      <w:pPr>
        <w:pStyle w:val="ListParagraph"/>
        <w:numPr>
          <w:ilvl w:val="0"/>
          <w:numId w:val="9"/>
        </w:numPr>
        <w:jc w:val="both"/>
        <w:rPr>
          <w:rFonts w:cstheme="minorHAnsi"/>
          <w:bCs/>
        </w:rPr>
      </w:pPr>
      <w:r w:rsidRPr="00391F9A">
        <w:rPr>
          <w:rFonts w:cstheme="minorHAnsi"/>
          <w:bCs/>
        </w:rPr>
        <w:t>Introduction and overview of banking analytics: CRISP-DM, Analytics problems, designing a data-driven problem-solving strategy in financial institutions.</w:t>
      </w:r>
    </w:p>
    <w:p w14:paraId="686833CD" w14:textId="5A79074D" w:rsidR="00F7237B" w:rsidRPr="00391F9A" w:rsidRDefault="00F7237B" w:rsidP="00F7237B">
      <w:pPr>
        <w:pStyle w:val="ListParagraph"/>
        <w:numPr>
          <w:ilvl w:val="0"/>
          <w:numId w:val="9"/>
        </w:numPr>
        <w:jc w:val="both"/>
        <w:rPr>
          <w:rFonts w:cstheme="minorHAnsi"/>
          <w:bCs/>
        </w:rPr>
      </w:pPr>
      <w:r w:rsidRPr="00391F9A">
        <w:rPr>
          <w:rFonts w:cstheme="minorHAnsi"/>
          <w:bCs/>
        </w:rPr>
        <w:t>Fixed income credit risk: Government bonds, bills, and notes: bond auctions and after-market trading Interest rate conventions (simple, compound, continuous compound), Decomposing bonds into cash flows of coupons. Pricing bonds: day count convention, clean and dirty price. The Yield Curve. The idea of the yield curve and its empirical phenomenology.</w:t>
      </w:r>
    </w:p>
    <w:p w14:paraId="009822AF" w14:textId="77777777" w:rsidR="00F7237B" w:rsidRPr="00391F9A" w:rsidRDefault="00F7237B" w:rsidP="00F7237B">
      <w:pPr>
        <w:pStyle w:val="ListParagraph"/>
        <w:numPr>
          <w:ilvl w:val="0"/>
          <w:numId w:val="9"/>
        </w:numPr>
        <w:jc w:val="both"/>
        <w:rPr>
          <w:rFonts w:cstheme="minorHAnsi"/>
          <w:bCs/>
        </w:rPr>
      </w:pPr>
      <w:r w:rsidRPr="00391F9A">
        <w:rPr>
          <w:rFonts w:cstheme="minorHAnsi"/>
          <w:bCs/>
        </w:rPr>
        <w:t>Retail credit risk modelling: Credit Scoring models, LGD and EAD models, basic concepts, working with software, dealing with difficulties.</w:t>
      </w:r>
    </w:p>
    <w:p w14:paraId="67773391" w14:textId="77777777" w:rsidR="00F7237B" w:rsidRPr="00391F9A" w:rsidRDefault="00F7237B" w:rsidP="00F7237B">
      <w:pPr>
        <w:pStyle w:val="ListParagraph"/>
        <w:numPr>
          <w:ilvl w:val="0"/>
          <w:numId w:val="9"/>
        </w:numPr>
        <w:jc w:val="both"/>
        <w:rPr>
          <w:rFonts w:cstheme="minorHAnsi"/>
          <w:bCs/>
        </w:rPr>
      </w:pPr>
      <w:r w:rsidRPr="00391F9A">
        <w:rPr>
          <w:rFonts w:cstheme="minorHAnsi"/>
          <w:bCs/>
        </w:rPr>
        <w:t>Advanced non-linear models and deep learning: basic principles, ensembles (Random Forest, XGBoosting), data interpretability.</w:t>
      </w:r>
    </w:p>
    <w:p w14:paraId="0EB208D6" w14:textId="14D4A3F9" w:rsidR="00766DC0" w:rsidRPr="00766DC0" w:rsidRDefault="00F7237B" w:rsidP="00766DC0">
      <w:pPr>
        <w:pStyle w:val="ListParagraph"/>
        <w:numPr>
          <w:ilvl w:val="0"/>
          <w:numId w:val="9"/>
        </w:numPr>
        <w:jc w:val="both"/>
        <w:rPr>
          <w:rFonts w:cstheme="minorHAnsi"/>
          <w:bCs/>
        </w:rPr>
      </w:pPr>
      <w:r w:rsidRPr="00391F9A">
        <w:rPr>
          <w:rFonts w:cstheme="minorHAnsi"/>
          <w:bCs/>
        </w:rPr>
        <w:t>Introduction to deep learning and alternative data modelling: neural networks, architecture design, advanced models (CNN, LSTM, etc) and their applications in banking analytics.</w:t>
      </w:r>
    </w:p>
    <w:p w14:paraId="53764100" w14:textId="7AA884FF" w:rsidR="00766DC0" w:rsidRDefault="00766DC0" w:rsidP="00F7237B">
      <w:pPr>
        <w:pStyle w:val="ListParagraph"/>
        <w:ind w:left="0"/>
        <w:jc w:val="both"/>
        <w:rPr>
          <w:rFonts w:cstheme="minorHAnsi"/>
        </w:rPr>
      </w:pPr>
    </w:p>
    <w:p w14:paraId="2E032F56" w14:textId="77777777" w:rsidR="00766DC0" w:rsidRPr="00391F9A" w:rsidRDefault="00766DC0" w:rsidP="00F7237B">
      <w:pPr>
        <w:pStyle w:val="ListParagraph"/>
        <w:ind w:left="0"/>
        <w:jc w:val="both"/>
        <w:rPr>
          <w:rFonts w:cstheme="minorHAnsi"/>
        </w:rPr>
      </w:pPr>
    </w:p>
    <w:p w14:paraId="4832F99A" w14:textId="77777777" w:rsidR="00391F9A" w:rsidRPr="00391F9A" w:rsidRDefault="00391F9A" w:rsidP="00391F9A">
      <w:pPr>
        <w:pStyle w:val="ListParagraph"/>
        <w:ind w:left="-142"/>
        <w:rPr>
          <w:rFonts w:eastAsia="Times New Roman" w:cstheme="minorHAnsi"/>
          <w:b/>
        </w:rPr>
      </w:pPr>
      <w:r w:rsidRPr="00391F9A">
        <w:rPr>
          <w:rFonts w:eastAsia="Times New Roman" w:cstheme="minorHAnsi"/>
          <w:b/>
        </w:rPr>
        <w:t>Learning Outcomes</w:t>
      </w:r>
    </w:p>
    <w:tbl>
      <w:tblPr>
        <w:tblStyle w:val="TableGrid"/>
        <w:tblW w:w="10145" w:type="dxa"/>
        <w:tblInd w:w="-714" w:type="dxa"/>
        <w:tblLook w:val="04A0" w:firstRow="1" w:lastRow="0" w:firstColumn="1" w:lastColumn="0" w:noHBand="0" w:noVBand="1"/>
      </w:tblPr>
      <w:tblGrid>
        <w:gridCol w:w="1358"/>
        <w:gridCol w:w="8787"/>
      </w:tblGrid>
      <w:tr w:rsidR="00391F9A" w:rsidRPr="00391F9A" w14:paraId="0610CBEF" w14:textId="77777777" w:rsidTr="00766DC0">
        <w:trPr>
          <w:trHeight w:val="2683"/>
        </w:trPr>
        <w:tc>
          <w:tcPr>
            <w:tcW w:w="1358" w:type="dxa"/>
            <w:tcBorders>
              <w:top w:val="nil"/>
              <w:left w:val="nil"/>
              <w:bottom w:val="nil"/>
              <w:right w:val="nil"/>
            </w:tcBorders>
            <w:shd w:val="clear" w:color="auto" w:fill="auto"/>
            <w:vAlign w:val="center"/>
          </w:tcPr>
          <w:p w14:paraId="669E6CD3" w14:textId="77777777" w:rsidR="00391F9A" w:rsidRPr="00391F9A" w:rsidRDefault="00391F9A" w:rsidP="006C4871">
            <w:pPr>
              <w:ind w:right="33"/>
              <w:jc w:val="center"/>
              <w:rPr>
                <w:rFonts w:eastAsia="Times New Roman" w:cstheme="minorHAnsi"/>
                <w:bCs/>
              </w:rPr>
            </w:pPr>
            <w:r w:rsidRPr="00391F9A">
              <w:rPr>
                <w:rFonts w:cstheme="minorHAnsi"/>
                <w:noProof/>
              </w:rPr>
              <w:drawing>
                <wp:inline distT="0" distB="0" distL="0" distR="0" wp14:anchorId="283F5EA9" wp14:editId="221F43BA">
                  <wp:extent cx="697865" cy="691927"/>
                  <wp:effectExtent l="0" t="0" r="0" b="0"/>
                  <wp:docPr id="769859927" name="Image1" descr="Bulls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400" cy="694440"/>
                          </a:xfrm>
                          <a:prstGeom prst="rect">
                            <a:avLst/>
                          </a:prstGeom>
                        </pic:spPr>
                      </pic:pic>
                    </a:graphicData>
                  </a:graphic>
                </wp:inline>
              </w:drawing>
            </w:r>
          </w:p>
        </w:tc>
        <w:tc>
          <w:tcPr>
            <w:tcW w:w="8787" w:type="dxa"/>
            <w:tcBorders>
              <w:top w:val="nil"/>
              <w:left w:val="nil"/>
              <w:bottom w:val="nil"/>
              <w:right w:val="nil"/>
            </w:tcBorders>
            <w:shd w:val="clear" w:color="auto" w:fill="auto"/>
          </w:tcPr>
          <w:p w14:paraId="66C1B95C" w14:textId="77777777" w:rsidR="00391F9A" w:rsidRPr="00391F9A" w:rsidRDefault="00391F9A" w:rsidP="006C4871">
            <w:pPr>
              <w:rPr>
                <w:rFonts w:cstheme="minorHAnsi"/>
                <w:bCs/>
              </w:rPr>
            </w:pPr>
            <w:r w:rsidRPr="00391F9A">
              <w:rPr>
                <w:rFonts w:cstheme="minorHAnsi"/>
                <w:bCs/>
              </w:rPr>
              <w:t>Having successfully completed the course, you will be able to demonstrate knowledge and understanding of:</w:t>
            </w:r>
          </w:p>
          <w:p w14:paraId="30F0EF0A" w14:textId="77777777" w:rsidR="00391F9A" w:rsidRPr="00391F9A" w:rsidRDefault="00391F9A" w:rsidP="006C4871">
            <w:pPr>
              <w:rPr>
                <w:rFonts w:cstheme="minorHAnsi"/>
                <w:bCs/>
              </w:rPr>
            </w:pPr>
          </w:p>
          <w:p w14:paraId="260F2CB3" w14:textId="17E8A08A" w:rsidR="00391F9A" w:rsidRPr="00391F9A" w:rsidRDefault="00391F9A" w:rsidP="006C4871">
            <w:pPr>
              <w:rPr>
                <w:rFonts w:cstheme="minorHAnsi"/>
                <w:bCs/>
              </w:rPr>
            </w:pPr>
            <w:r w:rsidRPr="00391F9A">
              <w:rPr>
                <w:rFonts w:cstheme="minorHAnsi"/>
                <w:bCs/>
              </w:rPr>
              <w:t>A1.</w:t>
            </w:r>
            <w:r w:rsidRPr="00391F9A">
              <w:rPr>
                <w:rFonts w:cstheme="minorHAnsi"/>
                <w:bCs/>
              </w:rPr>
              <w:tab/>
            </w:r>
            <w:r w:rsidR="00D1202A">
              <w:rPr>
                <w:rFonts w:cstheme="minorHAnsi"/>
                <w:bCs/>
              </w:rPr>
              <w:t xml:space="preserve">The </w:t>
            </w:r>
            <w:r w:rsidRPr="00391F9A">
              <w:rPr>
                <w:rFonts w:cstheme="minorHAnsi"/>
                <w:bCs/>
              </w:rPr>
              <w:t xml:space="preserve">Basic principles of data science in Banking: CRISP-DM and </w:t>
            </w:r>
            <w:r w:rsidR="00D1202A">
              <w:rPr>
                <w:rFonts w:cstheme="minorHAnsi"/>
                <w:bCs/>
              </w:rPr>
              <w:t xml:space="preserve">the </w:t>
            </w:r>
            <w:r w:rsidRPr="00391F9A">
              <w:rPr>
                <w:rFonts w:cstheme="minorHAnsi"/>
                <w:bCs/>
              </w:rPr>
              <w:t>definition of analytics</w:t>
            </w:r>
          </w:p>
          <w:p w14:paraId="2F328F3E" w14:textId="77777777" w:rsidR="00391F9A" w:rsidRPr="00391F9A" w:rsidRDefault="00391F9A" w:rsidP="006C4871">
            <w:pPr>
              <w:rPr>
                <w:rFonts w:cstheme="minorHAnsi"/>
                <w:bCs/>
              </w:rPr>
            </w:pPr>
          </w:p>
          <w:p w14:paraId="41AE0A8D" w14:textId="1D3E5F1A" w:rsidR="00391F9A" w:rsidRPr="00391F9A" w:rsidRDefault="00391F9A" w:rsidP="006C4871">
            <w:pPr>
              <w:rPr>
                <w:rFonts w:cstheme="minorHAnsi"/>
                <w:bCs/>
              </w:rPr>
            </w:pPr>
            <w:r w:rsidRPr="00391F9A">
              <w:rPr>
                <w:rFonts w:cstheme="minorHAnsi"/>
                <w:bCs/>
              </w:rPr>
              <w:t>A2.</w:t>
            </w:r>
            <w:r w:rsidRPr="00391F9A">
              <w:rPr>
                <w:rFonts w:cstheme="minorHAnsi"/>
                <w:bCs/>
              </w:rPr>
              <w:tab/>
            </w:r>
            <w:r w:rsidR="00D1202A">
              <w:rPr>
                <w:rFonts w:cstheme="minorHAnsi"/>
                <w:bCs/>
              </w:rPr>
              <w:t xml:space="preserve">The </w:t>
            </w:r>
            <w:r w:rsidRPr="00391F9A">
              <w:rPr>
                <w:rFonts w:cstheme="minorHAnsi"/>
                <w:bCs/>
              </w:rPr>
              <w:t>Underlying theory of predictive modelling</w:t>
            </w:r>
          </w:p>
          <w:p w14:paraId="4CD79292" w14:textId="77777777" w:rsidR="00391F9A" w:rsidRPr="00391F9A" w:rsidRDefault="00391F9A" w:rsidP="006C4871">
            <w:pPr>
              <w:rPr>
                <w:rFonts w:cstheme="minorHAnsi"/>
                <w:bCs/>
              </w:rPr>
            </w:pPr>
          </w:p>
          <w:p w14:paraId="051ED298" w14:textId="77777777" w:rsidR="00391F9A" w:rsidRPr="00391F9A" w:rsidRDefault="00391F9A" w:rsidP="006C4871">
            <w:pPr>
              <w:rPr>
                <w:rFonts w:cstheme="minorHAnsi"/>
                <w:bCs/>
              </w:rPr>
            </w:pPr>
            <w:r w:rsidRPr="00391F9A">
              <w:rPr>
                <w:rFonts w:cstheme="minorHAnsi"/>
                <w:bCs/>
              </w:rPr>
              <w:t>A3.</w:t>
            </w:r>
            <w:r w:rsidRPr="00391F9A">
              <w:rPr>
                <w:rFonts w:cstheme="minorHAnsi"/>
                <w:bCs/>
              </w:rPr>
              <w:tab/>
              <w:t>Solutions and technologies specifically designed for handling and extracting patterns from big data</w:t>
            </w:r>
          </w:p>
          <w:p w14:paraId="6D703E3E" w14:textId="7E114365" w:rsidR="00391F9A" w:rsidRPr="00391F9A" w:rsidRDefault="00391F9A" w:rsidP="00391F9A">
            <w:pPr>
              <w:rPr>
                <w:rFonts w:cstheme="minorHAnsi"/>
                <w:bCs/>
              </w:rPr>
            </w:pPr>
          </w:p>
        </w:tc>
      </w:tr>
    </w:tbl>
    <w:p w14:paraId="0238AD02" w14:textId="77777777" w:rsidR="00766DC0" w:rsidRPr="00391F9A" w:rsidRDefault="00766DC0" w:rsidP="00766DC0">
      <w:pPr>
        <w:rPr>
          <w:rFonts w:cstheme="minorHAnsi"/>
          <w:bCs/>
        </w:rPr>
      </w:pPr>
      <w:r w:rsidRPr="00391F9A">
        <w:rPr>
          <w:rFonts w:cstheme="minorHAnsi"/>
          <w:bCs/>
        </w:rPr>
        <w:t xml:space="preserve">Having successfully completed this course, you will be able to: </w:t>
      </w:r>
    </w:p>
    <w:p w14:paraId="5351C6EB" w14:textId="77777777" w:rsidR="00766DC0" w:rsidRPr="00391F9A" w:rsidRDefault="00766DC0" w:rsidP="00766DC0">
      <w:pPr>
        <w:rPr>
          <w:rFonts w:cstheme="minorHAnsi"/>
          <w:bCs/>
        </w:rPr>
      </w:pPr>
    </w:p>
    <w:p w14:paraId="03491120" w14:textId="77777777" w:rsidR="00766DC0" w:rsidRPr="00391F9A" w:rsidRDefault="00766DC0" w:rsidP="00766DC0">
      <w:pPr>
        <w:rPr>
          <w:rFonts w:cstheme="minorHAnsi"/>
          <w:bCs/>
        </w:rPr>
      </w:pPr>
      <w:r w:rsidRPr="00391F9A">
        <w:rPr>
          <w:rFonts w:cstheme="minorHAnsi"/>
          <w:bCs/>
        </w:rPr>
        <w:t>B1.</w:t>
      </w:r>
      <w:r w:rsidRPr="00391F9A">
        <w:rPr>
          <w:rFonts w:cstheme="minorHAnsi"/>
          <w:bCs/>
        </w:rPr>
        <w:tab/>
        <w:t>Work with relevant software packages to develop banking analytics solutions</w:t>
      </w:r>
    </w:p>
    <w:p w14:paraId="2522A463" w14:textId="77777777" w:rsidR="00766DC0" w:rsidRPr="00391F9A" w:rsidRDefault="00766DC0" w:rsidP="00766DC0">
      <w:pPr>
        <w:rPr>
          <w:rFonts w:cstheme="minorHAnsi"/>
          <w:bCs/>
        </w:rPr>
      </w:pPr>
    </w:p>
    <w:p w14:paraId="3D092071" w14:textId="46D39E85" w:rsidR="00766DC0" w:rsidRPr="00391F9A" w:rsidRDefault="00766DC0" w:rsidP="00766DC0">
      <w:pPr>
        <w:rPr>
          <w:rFonts w:cstheme="minorHAnsi"/>
          <w:bCs/>
        </w:rPr>
      </w:pPr>
      <w:r w:rsidRPr="00391F9A">
        <w:rPr>
          <w:rFonts w:cstheme="minorHAnsi"/>
          <w:bCs/>
        </w:rPr>
        <w:t>B2.</w:t>
      </w:r>
      <w:r w:rsidRPr="00391F9A">
        <w:rPr>
          <w:rFonts w:cstheme="minorHAnsi"/>
          <w:bCs/>
        </w:rPr>
        <w:tab/>
        <w:t xml:space="preserve">Handle various types of data </w:t>
      </w:r>
      <w:r w:rsidR="00D1202A">
        <w:rPr>
          <w:rFonts w:cstheme="minorHAnsi"/>
          <w:bCs/>
        </w:rPr>
        <w:t>sources</w:t>
      </w:r>
    </w:p>
    <w:p w14:paraId="222E5B8E" w14:textId="77777777" w:rsidR="00766DC0" w:rsidRPr="00391F9A" w:rsidRDefault="00766DC0" w:rsidP="00766DC0">
      <w:pPr>
        <w:rPr>
          <w:rFonts w:cstheme="minorHAnsi"/>
          <w:bCs/>
        </w:rPr>
      </w:pPr>
    </w:p>
    <w:p w14:paraId="3D084B2C" w14:textId="78DB9B59" w:rsidR="00766DC0" w:rsidRDefault="00766DC0" w:rsidP="00766DC0">
      <w:pPr>
        <w:ind w:right="-289"/>
        <w:rPr>
          <w:rFonts w:cstheme="minorHAnsi"/>
          <w:bCs/>
        </w:rPr>
      </w:pPr>
      <w:r w:rsidRPr="00391F9A">
        <w:rPr>
          <w:rFonts w:cstheme="minorHAnsi"/>
          <w:bCs/>
        </w:rPr>
        <w:t>B3.</w:t>
      </w:r>
      <w:r w:rsidRPr="00391F9A">
        <w:rPr>
          <w:rFonts w:cstheme="minorHAnsi"/>
          <w:bCs/>
        </w:rPr>
        <w:tab/>
        <w:t>Work with current software packages to create models using complex data sources.</w:t>
      </w:r>
    </w:p>
    <w:p w14:paraId="6F3DBA7A" w14:textId="77777777" w:rsidR="00766DC0" w:rsidRDefault="00766DC0" w:rsidP="00766DC0">
      <w:pPr>
        <w:ind w:right="-289"/>
        <w:rPr>
          <w:rFonts w:eastAsia="Times New Roman" w:cstheme="minorHAnsi"/>
          <w:b/>
        </w:rPr>
      </w:pPr>
    </w:p>
    <w:p w14:paraId="1523CB6F" w14:textId="77777777" w:rsidR="00D1202A" w:rsidRDefault="00D1202A" w:rsidP="00766DC0">
      <w:pPr>
        <w:ind w:right="-289"/>
        <w:rPr>
          <w:rFonts w:eastAsia="Times New Roman" w:cstheme="minorHAnsi"/>
          <w:b/>
        </w:rPr>
      </w:pPr>
    </w:p>
    <w:p w14:paraId="4B76221E" w14:textId="77777777" w:rsidR="00D1202A" w:rsidRDefault="00D1202A" w:rsidP="00766DC0">
      <w:pPr>
        <w:ind w:right="-289"/>
        <w:rPr>
          <w:rFonts w:eastAsia="Times New Roman" w:cstheme="minorHAnsi"/>
          <w:b/>
        </w:rPr>
      </w:pPr>
    </w:p>
    <w:p w14:paraId="585DEE76" w14:textId="77777777" w:rsidR="00D1202A" w:rsidRDefault="00D1202A" w:rsidP="00766DC0">
      <w:pPr>
        <w:ind w:right="-289"/>
        <w:rPr>
          <w:rFonts w:eastAsia="Times New Roman" w:cstheme="minorHAnsi"/>
          <w:b/>
        </w:rPr>
      </w:pPr>
    </w:p>
    <w:p w14:paraId="4A721117" w14:textId="77777777" w:rsidR="00D1202A" w:rsidRDefault="00D1202A" w:rsidP="00766DC0">
      <w:pPr>
        <w:ind w:right="-289"/>
        <w:rPr>
          <w:rFonts w:eastAsia="Times New Roman" w:cstheme="minorHAnsi"/>
          <w:b/>
        </w:rPr>
      </w:pPr>
    </w:p>
    <w:p w14:paraId="32CEF712" w14:textId="77777777" w:rsidR="00D1202A" w:rsidRDefault="00D1202A" w:rsidP="00766DC0">
      <w:pPr>
        <w:ind w:right="-289"/>
        <w:rPr>
          <w:rFonts w:eastAsia="Times New Roman" w:cstheme="minorHAnsi"/>
          <w:b/>
        </w:rPr>
      </w:pPr>
    </w:p>
    <w:p w14:paraId="7412FC25" w14:textId="15066EA2" w:rsidR="00391F9A" w:rsidRPr="00766DC0" w:rsidRDefault="00391F9A" w:rsidP="00766DC0">
      <w:pPr>
        <w:ind w:right="-289"/>
        <w:rPr>
          <w:rFonts w:eastAsia="Times New Roman" w:cstheme="minorHAnsi"/>
          <w:b/>
        </w:rPr>
      </w:pPr>
      <w:r w:rsidRPr="00766DC0">
        <w:rPr>
          <w:rFonts w:eastAsia="Times New Roman" w:cstheme="minorHAnsi"/>
          <w:b/>
        </w:rPr>
        <w:t xml:space="preserve">Table of Contents and Schedule </w:t>
      </w:r>
    </w:p>
    <w:tbl>
      <w:tblPr>
        <w:tblStyle w:val="TableGrid"/>
        <w:tblW w:w="10049" w:type="dxa"/>
        <w:tblInd w:w="-714" w:type="dxa"/>
        <w:tblLook w:val="04A0" w:firstRow="1" w:lastRow="0" w:firstColumn="1" w:lastColumn="0" w:noHBand="0" w:noVBand="1"/>
      </w:tblPr>
      <w:tblGrid>
        <w:gridCol w:w="1417"/>
        <w:gridCol w:w="8632"/>
      </w:tblGrid>
      <w:tr w:rsidR="00391F9A" w:rsidRPr="00391F9A" w14:paraId="0713B7FD" w14:textId="77777777" w:rsidTr="006C4871">
        <w:trPr>
          <w:trHeight w:val="4760"/>
        </w:trPr>
        <w:tc>
          <w:tcPr>
            <w:tcW w:w="1416" w:type="dxa"/>
            <w:tcBorders>
              <w:top w:val="nil"/>
              <w:left w:val="nil"/>
              <w:bottom w:val="nil"/>
              <w:right w:val="nil"/>
            </w:tcBorders>
            <w:shd w:val="clear" w:color="auto" w:fill="auto"/>
            <w:vAlign w:val="center"/>
          </w:tcPr>
          <w:p w14:paraId="17600524" w14:textId="77777777" w:rsidR="00391F9A" w:rsidRPr="00391F9A" w:rsidRDefault="00391F9A" w:rsidP="006C4871">
            <w:pPr>
              <w:ind w:right="39"/>
              <w:jc w:val="center"/>
              <w:rPr>
                <w:rFonts w:eastAsia="Times New Roman" w:cstheme="minorHAnsi"/>
              </w:rPr>
            </w:pPr>
            <w:r w:rsidRPr="00391F9A">
              <w:rPr>
                <w:rFonts w:cstheme="minorHAnsi"/>
                <w:noProof/>
              </w:rPr>
              <w:drawing>
                <wp:inline distT="0" distB="0" distL="0" distR="0" wp14:anchorId="2475F13E" wp14:editId="5BB4939D">
                  <wp:extent cx="737870" cy="737870"/>
                  <wp:effectExtent l="0" t="0" r="0" b="0"/>
                  <wp:docPr id="1604976563" name="Graphic 19" descr="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870" cy="737870"/>
                          </a:xfrm>
                          <a:prstGeom prst="rect">
                            <a:avLst/>
                          </a:prstGeom>
                        </pic:spPr>
                      </pic:pic>
                    </a:graphicData>
                  </a:graphic>
                </wp:inline>
              </w:drawing>
            </w:r>
          </w:p>
        </w:tc>
        <w:tc>
          <w:tcPr>
            <w:tcW w:w="8632" w:type="dxa"/>
            <w:tcBorders>
              <w:top w:val="nil"/>
              <w:left w:val="nil"/>
              <w:bottom w:val="nil"/>
              <w:right w:val="nil"/>
            </w:tcBorders>
            <w:shd w:val="clear" w:color="auto" w:fill="auto"/>
          </w:tcPr>
          <w:p w14:paraId="59B1E68E" w14:textId="77777777" w:rsidR="00391F9A" w:rsidRPr="00391F9A" w:rsidRDefault="00391F9A" w:rsidP="006C4871">
            <w:pPr>
              <w:ind w:right="39"/>
              <w:jc w:val="both"/>
              <w:rPr>
                <w:rFonts w:eastAsia="Times New Roman" w:cstheme="minorHAnsi"/>
              </w:rPr>
            </w:pPr>
            <w:r w:rsidRPr="00391F9A">
              <w:rPr>
                <w:rFonts w:eastAsia="Times New Roman" w:cstheme="minorHAnsi"/>
              </w:rPr>
              <w:t xml:space="preserve"> </w:t>
            </w:r>
          </w:p>
          <w:tbl>
            <w:tblPr>
              <w:tblStyle w:val="TableGrid"/>
              <w:tblW w:w="8116" w:type="dxa"/>
              <w:tblCellMar>
                <w:left w:w="103" w:type="dxa"/>
              </w:tblCellMar>
              <w:tblLook w:val="04A0" w:firstRow="1" w:lastRow="0" w:firstColumn="1" w:lastColumn="0" w:noHBand="0" w:noVBand="1"/>
            </w:tblPr>
            <w:tblGrid>
              <w:gridCol w:w="960"/>
              <w:gridCol w:w="1870"/>
              <w:gridCol w:w="5286"/>
            </w:tblGrid>
            <w:tr w:rsidR="00391F9A" w:rsidRPr="00391F9A" w14:paraId="2F2A76DE" w14:textId="77777777" w:rsidTr="006C4871">
              <w:trPr>
                <w:trHeight w:val="271"/>
              </w:trPr>
              <w:tc>
                <w:tcPr>
                  <w:tcW w:w="960" w:type="dxa"/>
                  <w:shd w:val="clear" w:color="auto" w:fill="auto"/>
                </w:tcPr>
                <w:p w14:paraId="18E6C36F" w14:textId="77777777" w:rsidR="00391F9A" w:rsidRPr="00391F9A" w:rsidRDefault="00391F9A" w:rsidP="006C4871">
                  <w:pPr>
                    <w:ind w:right="39"/>
                    <w:jc w:val="both"/>
                    <w:rPr>
                      <w:rFonts w:eastAsia="Times New Roman" w:cstheme="minorHAnsi"/>
                      <w:b/>
                      <w:bCs/>
                    </w:rPr>
                  </w:pPr>
                  <w:r w:rsidRPr="00391F9A">
                    <w:rPr>
                      <w:rFonts w:eastAsia="Times New Roman" w:cstheme="minorHAnsi"/>
                      <w:b/>
                      <w:bCs/>
                    </w:rPr>
                    <w:t>Week</w:t>
                  </w:r>
                </w:p>
              </w:tc>
              <w:tc>
                <w:tcPr>
                  <w:tcW w:w="1870" w:type="dxa"/>
                  <w:shd w:val="clear" w:color="auto" w:fill="auto"/>
                </w:tcPr>
                <w:p w14:paraId="67E437BD" w14:textId="77777777" w:rsidR="00391F9A" w:rsidRPr="00391F9A" w:rsidRDefault="00391F9A" w:rsidP="006C4871">
                  <w:pPr>
                    <w:ind w:right="39"/>
                    <w:jc w:val="both"/>
                    <w:rPr>
                      <w:rFonts w:eastAsia="Times New Roman" w:cstheme="minorHAnsi"/>
                      <w:b/>
                      <w:bCs/>
                    </w:rPr>
                  </w:pPr>
                  <w:r w:rsidRPr="00391F9A">
                    <w:rPr>
                      <w:rFonts w:eastAsia="Times New Roman" w:cstheme="minorHAnsi"/>
                      <w:b/>
                      <w:bCs/>
                    </w:rPr>
                    <w:t>Dates</w:t>
                  </w:r>
                </w:p>
              </w:tc>
              <w:tc>
                <w:tcPr>
                  <w:tcW w:w="5286" w:type="dxa"/>
                  <w:shd w:val="clear" w:color="auto" w:fill="auto"/>
                </w:tcPr>
                <w:p w14:paraId="393B3343" w14:textId="77777777" w:rsidR="00391F9A" w:rsidRPr="00391F9A" w:rsidRDefault="00391F9A" w:rsidP="006C4871">
                  <w:pPr>
                    <w:ind w:right="39"/>
                    <w:jc w:val="both"/>
                    <w:rPr>
                      <w:rFonts w:eastAsia="Times New Roman" w:cstheme="minorHAnsi"/>
                      <w:b/>
                      <w:bCs/>
                    </w:rPr>
                  </w:pPr>
                  <w:r w:rsidRPr="00391F9A">
                    <w:rPr>
                      <w:rFonts w:eastAsia="Times New Roman" w:cstheme="minorHAnsi"/>
                      <w:b/>
                      <w:bCs/>
                    </w:rPr>
                    <w:t>Topic</w:t>
                  </w:r>
                </w:p>
              </w:tc>
            </w:tr>
            <w:tr w:rsidR="00391F9A" w:rsidRPr="00391F9A" w14:paraId="09D88ED2" w14:textId="77777777" w:rsidTr="006C4871">
              <w:trPr>
                <w:trHeight w:val="290"/>
              </w:trPr>
              <w:tc>
                <w:tcPr>
                  <w:tcW w:w="960" w:type="dxa"/>
                  <w:shd w:val="clear" w:color="auto" w:fill="auto"/>
                </w:tcPr>
                <w:p w14:paraId="0B1F0136" w14:textId="77777777" w:rsidR="00391F9A" w:rsidRPr="00391F9A" w:rsidRDefault="00391F9A" w:rsidP="006C4871">
                  <w:pPr>
                    <w:ind w:right="39"/>
                    <w:jc w:val="both"/>
                    <w:rPr>
                      <w:rFonts w:eastAsia="Times New Roman" w:cstheme="minorHAnsi"/>
                    </w:rPr>
                  </w:pPr>
                  <w:r w:rsidRPr="00391F9A">
                    <w:rPr>
                      <w:rFonts w:eastAsia="Times New Roman" w:cstheme="minorHAnsi"/>
                    </w:rPr>
                    <w:t>1</w:t>
                  </w:r>
                </w:p>
              </w:tc>
              <w:tc>
                <w:tcPr>
                  <w:tcW w:w="1870" w:type="dxa"/>
                  <w:shd w:val="clear" w:color="auto" w:fill="auto"/>
                </w:tcPr>
                <w:p w14:paraId="3F7E30EF" w14:textId="68A9C444" w:rsidR="00391F9A" w:rsidRPr="00391F9A" w:rsidRDefault="007A5E9B" w:rsidP="006C4871">
                  <w:pPr>
                    <w:ind w:right="39"/>
                    <w:jc w:val="both"/>
                    <w:rPr>
                      <w:rFonts w:eastAsia="Times New Roman" w:cstheme="minorHAnsi"/>
                    </w:rPr>
                  </w:pPr>
                  <w:r>
                    <w:rPr>
                      <w:rFonts w:eastAsia="Times New Roman" w:cstheme="minorHAnsi"/>
                    </w:rPr>
                    <w:t>Jan</w:t>
                  </w:r>
                  <w:r w:rsidR="00391F9A" w:rsidRPr="00391F9A">
                    <w:rPr>
                      <w:rFonts w:eastAsia="Times New Roman" w:cstheme="minorHAnsi"/>
                    </w:rPr>
                    <w:t xml:space="preserve"> </w:t>
                  </w:r>
                  <w:r w:rsidR="006F14FE">
                    <w:rPr>
                      <w:rFonts w:eastAsia="Times New Roman" w:cstheme="minorHAnsi"/>
                    </w:rPr>
                    <w:t>10</w:t>
                  </w:r>
                  <w:r w:rsidR="00391F9A" w:rsidRPr="00391F9A">
                    <w:rPr>
                      <w:rFonts w:eastAsia="Times New Roman" w:cstheme="minorHAnsi"/>
                    </w:rPr>
                    <w:t xml:space="preserve"> – </w:t>
                  </w:r>
                  <w:r>
                    <w:rPr>
                      <w:rFonts w:eastAsia="Times New Roman" w:cstheme="minorHAnsi"/>
                    </w:rPr>
                    <w:t>13</w:t>
                  </w:r>
                </w:p>
              </w:tc>
              <w:tc>
                <w:tcPr>
                  <w:tcW w:w="5286" w:type="dxa"/>
                  <w:shd w:val="clear" w:color="auto" w:fill="auto"/>
                </w:tcPr>
                <w:p w14:paraId="67282321" w14:textId="77777777" w:rsidR="00391F9A" w:rsidRPr="00391F9A" w:rsidRDefault="00391F9A" w:rsidP="006C4871">
                  <w:pPr>
                    <w:ind w:right="39"/>
                    <w:jc w:val="both"/>
                    <w:rPr>
                      <w:rFonts w:eastAsia="Times New Roman" w:cstheme="minorHAnsi"/>
                    </w:rPr>
                  </w:pPr>
                  <w:r w:rsidRPr="00391F9A">
                    <w:rPr>
                      <w:rFonts w:eastAsia="Times New Roman" w:cstheme="minorHAnsi"/>
                    </w:rPr>
                    <w:t>Intro to Banking Regulation</w:t>
                  </w:r>
                </w:p>
              </w:tc>
            </w:tr>
            <w:tr w:rsidR="00391F9A" w:rsidRPr="00391F9A" w14:paraId="0FC104D2" w14:textId="77777777" w:rsidTr="006C4871">
              <w:trPr>
                <w:trHeight w:val="271"/>
              </w:trPr>
              <w:tc>
                <w:tcPr>
                  <w:tcW w:w="960" w:type="dxa"/>
                  <w:shd w:val="clear" w:color="auto" w:fill="auto"/>
                </w:tcPr>
                <w:p w14:paraId="53EBBBFF" w14:textId="77777777" w:rsidR="00391F9A" w:rsidRPr="00391F9A" w:rsidRDefault="00391F9A" w:rsidP="006C4871">
                  <w:pPr>
                    <w:ind w:right="39"/>
                    <w:jc w:val="both"/>
                    <w:rPr>
                      <w:rFonts w:eastAsia="Times New Roman" w:cstheme="minorHAnsi"/>
                    </w:rPr>
                  </w:pPr>
                  <w:r w:rsidRPr="00391F9A">
                    <w:rPr>
                      <w:rFonts w:eastAsia="Times New Roman" w:cstheme="minorHAnsi"/>
                    </w:rPr>
                    <w:t>2</w:t>
                  </w:r>
                </w:p>
              </w:tc>
              <w:tc>
                <w:tcPr>
                  <w:tcW w:w="1870" w:type="dxa"/>
                  <w:shd w:val="clear" w:color="auto" w:fill="auto"/>
                </w:tcPr>
                <w:p w14:paraId="1597F7D6" w14:textId="2B23C0C5" w:rsidR="00391F9A" w:rsidRPr="00391F9A" w:rsidRDefault="007A5E9B" w:rsidP="006C4871">
                  <w:pPr>
                    <w:ind w:right="39"/>
                    <w:jc w:val="both"/>
                    <w:rPr>
                      <w:rFonts w:eastAsia="Times New Roman" w:cstheme="minorHAnsi"/>
                    </w:rPr>
                  </w:pPr>
                  <w:r>
                    <w:rPr>
                      <w:rFonts w:eastAsia="Times New Roman" w:cstheme="minorHAnsi"/>
                    </w:rPr>
                    <w:t>Jan</w:t>
                  </w:r>
                  <w:r w:rsidRPr="00391F9A">
                    <w:rPr>
                      <w:rFonts w:eastAsia="Times New Roman" w:cstheme="minorHAnsi"/>
                    </w:rPr>
                    <w:t xml:space="preserve"> </w:t>
                  </w:r>
                  <w:r w:rsidR="00440D2B">
                    <w:rPr>
                      <w:rFonts w:eastAsia="Times New Roman" w:cstheme="minorHAnsi"/>
                    </w:rPr>
                    <w:t>16</w:t>
                  </w:r>
                  <w:r w:rsidRPr="00391F9A">
                    <w:rPr>
                      <w:rFonts w:eastAsia="Times New Roman" w:cstheme="minorHAnsi"/>
                    </w:rPr>
                    <w:t xml:space="preserve"> – </w:t>
                  </w:r>
                  <w:r w:rsidR="00440D2B">
                    <w:rPr>
                      <w:rFonts w:eastAsia="Times New Roman" w:cstheme="minorHAnsi"/>
                    </w:rPr>
                    <w:t>20</w:t>
                  </w:r>
                </w:p>
              </w:tc>
              <w:tc>
                <w:tcPr>
                  <w:tcW w:w="5286" w:type="dxa"/>
                  <w:shd w:val="clear" w:color="auto" w:fill="auto"/>
                </w:tcPr>
                <w:p w14:paraId="020B8A30" w14:textId="77777777" w:rsidR="00391F9A" w:rsidRPr="00391F9A" w:rsidRDefault="00391F9A" w:rsidP="006C4871">
                  <w:pPr>
                    <w:ind w:right="39"/>
                    <w:jc w:val="both"/>
                    <w:rPr>
                      <w:rFonts w:eastAsia="Times New Roman" w:cstheme="minorHAnsi"/>
                    </w:rPr>
                  </w:pPr>
                  <w:r w:rsidRPr="00391F9A">
                    <w:rPr>
                      <w:rFonts w:eastAsia="Times New Roman" w:cstheme="minorHAnsi"/>
                    </w:rPr>
                    <w:t>Bonds and credit instruments</w:t>
                  </w:r>
                </w:p>
              </w:tc>
            </w:tr>
            <w:tr w:rsidR="00391F9A" w:rsidRPr="00391F9A" w14:paraId="6DCC87D6" w14:textId="77777777" w:rsidTr="006C4871">
              <w:trPr>
                <w:trHeight w:val="290"/>
              </w:trPr>
              <w:tc>
                <w:tcPr>
                  <w:tcW w:w="960" w:type="dxa"/>
                  <w:shd w:val="clear" w:color="auto" w:fill="auto"/>
                </w:tcPr>
                <w:p w14:paraId="7AE2944D" w14:textId="77777777" w:rsidR="00391F9A" w:rsidRPr="00391F9A" w:rsidRDefault="00391F9A" w:rsidP="006C4871">
                  <w:pPr>
                    <w:ind w:right="39"/>
                    <w:jc w:val="both"/>
                    <w:rPr>
                      <w:rFonts w:eastAsia="Times New Roman" w:cstheme="minorHAnsi"/>
                    </w:rPr>
                  </w:pPr>
                  <w:r w:rsidRPr="00391F9A">
                    <w:rPr>
                      <w:rFonts w:eastAsia="Times New Roman" w:cstheme="minorHAnsi"/>
                    </w:rPr>
                    <w:t>3</w:t>
                  </w:r>
                </w:p>
              </w:tc>
              <w:tc>
                <w:tcPr>
                  <w:tcW w:w="1870" w:type="dxa"/>
                  <w:shd w:val="clear" w:color="auto" w:fill="auto"/>
                </w:tcPr>
                <w:p w14:paraId="61603EAA" w14:textId="492A8E50" w:rsidR="00391F9A" w:rsidRPr="00391F9A" w:rsidRDefault="007A5E9B" w:rsidP="006C4871">
                  <w:pPr>
                    <w:ind w:right="39"/>
                    <w:jc w:val="both"/>
                    <w:rPr>
                      <w:rFonts w:eastAsia="Times New Roman" w:cstheme="minorHAnsi"/>
                    </w:rPr>
                  </w:pPr>
                  <w:r>
                    <w:rPr>
                      <w:rFonts w:eastAsia="Times New Roman" w:cstheme="minorHAnsi"/>
                    </w:rPr>
                    <w:t>Jan</w:t>
                  </w:r>
                  <w:r w:rsidRPr="00391F9A">
                    <w:rPr>
                      <w:rFonts w:eastAsia="Times New Roman" w:cstheme="minorHAnsi"/>
                    </w:rPr>
                    <w:t xml:space="preserve"> </w:t>
                  </w:r>
                  <w:r w:rsidR="00440D2B">
                    <w:rPr>
                      <w:rFonts w:eastAsia="Times New Roman" w:cstheme="minorHAnsi"/>
                    </w:rPr>
                    <w:t>23</w:t>
                  </w:r>
                  <w:r w:rsidRPr="00391F9A">
                    <w:rPr>
                      <w:rFonts w:eastAsia="Times New Roman" w:cstheme="minorHAnsi"/>
                    </w:rPr>
                    <w:t xml:space="preserve"> – </w:t>
                  </w:r>
                  <w:r w:rsidR="00440D2B">
                    <w:rPr>
                      <w:rFonts w:eastAsia="Times New Roman" w:cstheme="minorHAnsi"/>
                    </w:rPr>
                    <w:t>27</w:t>
                  </w:r>
                </w:p>
              </w:tc>
              <w:tc>
                <w:tcPr>
                  <w:tcW w:w="5286" w:type="dxa"/>
                  <w:shd w:val="clear" w:color="auto" w:fill="auto"/>
                </w:tcPr>
                <w:p w14:paraId="4450E0CA" w14:textId="77777777" w:rsidR="00391F9A" w:rsidRPr="00391F9A" w:rsidRDefault="00391F9A" w:rsidP="006C4871">
                  <w:pPr>
                    <w:ind w:right="39"/>
                    <w:jc w:val="both"/>
                    <w:rPr>
                      <w:rFonts w:eastAsia="Times New Roman" w:cstheme="minorHAnsi"/>
                    </w:rPr>
                  </w:pPr>
                  <w:r w:rsidRPr="00391F9A">
                    <w:rPr>
                      <w:rFonts w:eastAsia="Times New Roman" w:cstheme="minorHAnsi"/>
                    </w:rPr>
                    <w:t>Provisions and capital requirements</w:t>
                  </w:r>
                </w:p>
              </w:tc>
            </w:tr>
            <w:tr w:rsidR="00391F9A" w:rsidRPr="00391F9A" w14:paraId="4F9F448F" w14:textId="77777777" w:rsidTr="006C4871">
              <w:trPr>
                <w:trHeight w:val="271"/>
              </w:trPr>
              <w:tc>
                <w:tcPr>
                  <w:tcW w:w="960" w:type="dxa"/>
                  <w:shd w:val="clear" w:color="auto" w:fill="auto"/>
                </w:tcPr>
                <w:p w14:paraId="5A841081" w14:textId="77777777" w:rsidR="00391F9A" w:rsidRPr="00391F9A" w:rsidRDefault="00391F9A" w:rsidP="006C4871">
                  <w:pPr>
                    <w:ind w:right="39"/>
                    <w:jc w:val="both"/>
                    <w:rPr>
                      <w:rFonts w:eastAsia="Times New Roman" w:cstheme="minorHAnsi"/>
                    </w:rPr>
                  </w:pPr>
                  <w:r w:rsidRPr="00391F9A">
                    <w:rPr>
                      <w:rFonts w:eastAsia="Times New Roman" w:cstheme="minorHAnsi"/>
                    </w:rPr>
                    <w:t>4</w:t>
                  </w:r>
                </w:p>
              </w:tc>
              <w:tc>
                <w:tcPr>
                  <w:tcW w:w="1870" w:type="dxa"/>
                  <w:shd w:val="clear" w:color="auto" w:fill="auto"/>
                </w:tcPr>
                <w:p w14:paraId="177A1722" w14:textId="55265D99" w:rsidR="00391F9A" w:rsidRPr="00391F9A" w:rsidRDefault="00440D2B" w:rsidP="006C4871">
                  <w:pPr>
                    <w:ind w:right="39"/>
                    <w:jc w:val="both"/>
                    <w:rPr>
                      <w:rFonts w:eastAsia="Times New Roman" w:cstheme="minorHAnsi"/>
                    </w:rPr>
                  </w:pPr>
                  <w:r>
                    <w:rPr>
                      <w:rFonts w:eastAsia="Times New Roman" w:cstheme="minorHAnsi"/>
                    </w:rPr>
                    <w:t>Jan</w:t>
                  </w:r>
                  <w:r w:rsidR="00391F9A" w:rsidRPr="00391F9A">
                    <w:rPr>
                      <w:rFonts w:eastAsia="Times New Roman" w:cstheme="minorHAnsi"/>
                    </w:rPr>
                    <w:t xml:space="preserve"> </w:t>
                  </w:r>
                  <w:r>
                    <w:rPr>
                      <w:rFonts w:eastAsia="Times New Roman" w:cstheme="minorHAnsi"/>
                    </w:rPr>
                    <w:t>30</w:t>
                  </w:r>
                  <w:r w:rsidR="00391F9A" w:rsidRPr="00391F9A">
                    <w:rPr>
                      <w:rFonts w:eastAsia="Times New Roman" w:cstheme="minorHAnsi"/>
                    </w:rPr>
                    <w:t xml:space="preserve"> – </w:t>
                  </w:r>
                  <w:r>
                    <w:rPr>
                      <w:rFonts w:eastAsia="Times New Roman" w:cstheme="minorHAnsi"/>
                    </w:rPr>
                    <w:t xml:space="preserve">Feb </w:t>
                  </w:r>
                  <w:r w:rsidR="00391F9A" w:rsidRPr="00391F9A">
                    <w:rPr>
                      <w:rFonts w:eastAsia="Times New Roman" w:cstheme="minorHAnsi"/>
                    </w:rPr>
                    <w:t>3</w:t>
                  </w:r>
                </w:p>
              </w:tc>
              <w:tc>
                <w:tcPr>
                  <w:tcW w:w="5286" w:type="dxa"/>
                  <w:shd w:val="clear" w:color="auto" w:fill="auto"/>
                </w:tcPr>
                <w:p w14:paraId="41D626E7" w14:textId="77777777" w:rsidR="00391F9A" w:rsidRPr="00391F9A" w:rsidRDefault="00391F9A" w:rsidP="006C4871">
                  <w:pPr>
                    <w:ind w:right="39"/>
                    <w:jc w:val="both"/>
                    <w:rPr>
                      <w:rFonts w:eastAsia="Times New Roman" w:cstheme="minorHAnsi"/>
                    </w:rPr>
                  </w:pPr>
                  <w:r w:rsidRPr="00391F9A">
                    <w:rPr>
                      <w:rFonts w:eastAsia="Times New Roman" w:cstheme="minorHAnsi"/>
                    </w:rPr>
                    <w:t>CRISP-DM and analytics in banking</w:t>
                  </w:r>
                </w:p>
              </w:tc>
            </w:tr>
            <w:tr w:rsidR="00391F9A" w:rsidRPr="00391F9A" w14:paraId="159FDA2E" w14:textId="77777777" w:rsidTr="006C4871">
              <w:trPr>
                <w:trHeight w:val="290"/>
              </w:trPr>
              <w:tc>
                <w:tcPr>
                  <w:tcW w:w="960" w:type="dxa"/>
                  <w:shd w:val="clear" w:color="auto" w:fill="auto"/>
                </w:tcPr>
                <w:p w14:paraId="2C15F738" w14:textId="77777777" w:rsidR="00391F9A" w:rsidRPr="00391F9A" w:rsidRDefault="00391F9A" w:rsidP="006C4871">
                  <w:pPr>
                    <w:ind w:right="39"/>
                    <w:jc w:val="both"/>
                    <w:rPr>
                      <w:rFonts w:eastAsia="Times New Roman" w:cstheme="minorHAnsi"/>
                    </w:rPr>
                  </w:pPr>
                  <w:r w:rsidRPr="00391F9A">
                    <w:rPr>
                      <w:rFonts w:eastAsia="Times New Roman" w:cstheme="minorHAnsi"/>
                    </w:rPr>
                    <w:t>5</w:t>
                  </w:r>
                </w:p>
              </w:tc>
              <w:tc>
                <w:tcPr>
                  <w:tcW w:w="1870" w:type="dxa"/>
                  <w:shd w:val="clear" w:color="auto" w:fill="auto"/>
                </w:tcPr>
                <w:p w14:paraId="61B9EDF1" w14:textId="70AEF92E" w:rsidR="00391F9A" w:rsidRPr="00391F9A" w:rsidRDefault="00DA3439" w:rsidP="006C4871">
                  <w:pPr>
                    <w:ind w:right="39"/>
                    <w:jc w:val="both"/>
                    <w:rPr>
                      <w:rFonts w:eastAsia="Times New Roman" w:cstheme="minorHAnsi"/>
                    </w:rPr>
                  </w:pPr>
                  <w:r>
                    <w:rPr>
                      <w:rFonts w:eastAsia="Times New Roman" w:cstheme="minorHAnsi"/>
                    </w:rPr>
                    <w:t>Feb</w:t>
                  </w:r>
                  <w:r w:rsidR="00391F9A" w:rsidRPr="00391F9A">
                    <w:rPr>
                      <w:rFonts w:eastAsia="Times New Roman" w:cstheme="minorHAnsi"/>
                    </w:rPr>
                    <w:t xml:space="preserve"> </w:t>
                  </w:r>
                  <w:r w:rsidR="001F386E">
                    <w:rPr>
                      <w:rFonts w:eastAsia="Times New Roman" w:cstheme="minorHAnsi"/>
                    </w:rPr>
                    <w:t>6</w:t>
                  </w:r>
                  <w:r w:rsidR="00391F9A" w:rsidRPr="00391F9A">
                    <w:rPr>
                      <w:rFonts w:eastAsia="Times New Roman" w:cstheme="minorHAnsi"/>
                    </w:rPr>
                    <w:t xml:space="preserve"> – 10 </w:t>
                  </w:r>
                </w:p>
              </w:tc>
              <w:tc>
                <w:tcPr>
                  <w:tcW w:w="5286" w:type="dxa"/>
                  <w:shd w:val="clear" w:color="auto" w:fill="auto"/>
                </w:tcPr>
                <w:p w14:paraId="34EA2525" w14:textId="34137067" w:rsidR="00391F9A" w:rsidRPr="00391F9A" w:rsidRDefault="00BD3CBD" w:rsidP="006C4871">
                  <w:pPr>
                    <w:ind w:right="39"/>
                    <w:jc w:val="both"/>
                    <w:rPr>
                      <w:rFonts w:eastAsia="Times New Roman" w:cstheme="minorHAnsi"/>
                    </w:rPr>
                  </w:pPr>
                  <w:r>
                    <w:rPr>
                      <w:rFonts w:eastAsia="Times New Roman" w:cstheme="minorHAnsi"/>
                    </w:rPr>
                    <w:t>Midterm</w:t>
                  </w:r>
                </w:p>
              </w:tc>
            </w:tr>
            <w:tr w:rsidR="00391F9A" w:rsidRPr="00391F9A" w14:paraId="1CB4F6AB" w14:textId="77777777" w:rsidTr="006C4871">
              <w:trPr>
                <w:trHeight w:val="271"/>
              </w:trPr>
              <w:tc>
                <w:tcPr>
                  <w:tcW w:w="960" w:type="dxa"/>
                  <w:shd w:val="clear" w:color="auto" w:fill="auto"/>
                </w:tcPr>
                <w:p w14:paraId="3081D31B" w14:textId="77777777" w:rsidR="00391F9A" w:rsidRPr="00391F9A" w:rsidRDefault="00391F9A" w:rsidP="006C4871">
                  <w:pPr>
                    <w:ind w:right="39"/>
                    <w:jc w:val="both"/>
                    <w:rPr>
                      <w:rFonts w:eastAsia="Times New Roman" w:cstheme="minorHAnsi"/>
                    </w:rPr>
                  </w:pPr>
                  <w:r w:rsidRPr="00391F9A">
                    <w:rPr>
                      <w:rFonts w:eastAsia="Times New Roman" w:cstheme="minorHAnsi"/>
                    </w:rPr>
                    <w:t>6</w:t>
                  </w:r>
                </w:p>
              </w:tc>
              <w:tc>
                <w:tcPr>
                  <w:tcW w:w="1870" w:type="dxa"/>
                  <w:shd w:val="clear" w:color="auto" w:fill="auto"/>
                </w:tcPr>
                <w:p w14:paraId="7F8C75B7" w14:textId="355D0836" w:rsidR="00391F9A" w:rsidRPr="00391F9A" w:rsidRDefault="001F386E" w:rsidP="006C4871">
                  <w:pPr>
                    <w:ind w:right="39"/>
                    <w:jc w:val="both"/>
                    <w:rPr>
                      <w:rFonts w:eastAsia="Times New Roman" w:cstheme="minorHAnsi"/>
                    </w:rPr>
                  </w:pPr>
                  <w:r>
                    <w:rPr>
                      <w:rFonts w:eastAsia="Times New Roman" w:cstheme="minorHAnsi"/>
                    </w:rPr>
                    <w:t>Feb</w:t>
                  </w:r>
                  <w:r w:rsidR="00391F9A" w:rsidRPr="00391F9A">
                    <w:rPr>
                      <w:rFonts w:eastAsia="Times New Roman" w:cstheme="minorHAnsi"/>
                    </w:rPr>
                    <w:t xml:space="preserve"> </w:t>
                  </w:r>
                  <w:r>
                    <w:rPr>
                      <w:rFonts w:eastAsia="Times New Roman" w:cstheme="minorHAnsi"/>
                    </w:rPr>
                    <w:t>13</w:t>
                  </w:r>
                  <w:r w:rsidR="00391F9A" w:rsidRPr="00391F9A">
                    <w:rPr>
                      <w:rFonts w:eastAsia="Times New Roman" w:cstheme="minorHAnsi"/>
                    </w:rPr>
                    <w:t xml:space="preserve"> – 17 </w:t>
                  </w:r>
                </w:p>
              </w:tc>
              <w:tc>
                <w:tcPr>
                  <w:tcW w:w="5286" w:type="dxa"/>
                  <w:shd w:val="clear" w:color="auto" w:fill="auto"/>
                </w:tcPr>
                <w:p w14:paraId="4A8CF58D" w14:textId="6EB59670" w:rsidR="00391F9A" w:rsidRPr="00391F9A" w:rsidRDefault="00391F9A" w:rsidP="006C4871">
                  <w:pPr>
                    <w:ind w:right="39"/>
                    <w:jc w:val="both"/>
                    <w:rPr>
                      <w:rFonts w:eastAsia="Times New Roman" w:cstheme="minorHAnsi"/>
                    </w:rPr>
                  </w:pPr>
                  <w:r w:rsidRPr="00391F9A">
                    <w:rPr>
                      <w:rFonts w:eastAsia="Times New Roman" w:cstheme="minorHAnsi"/>
                    </w:rPr>
                    <w:t>Credit scoring and GLM applied in banking I</w:t>
                  </w:r>
                </w:p>
              </w:tc>
            </w:tr>
            <w:tr w:rsidR="00882EFE" w:rsidRPr="00391F9A" w14:paraId="0E43F532" w14:textId="77777777" w:rsidTr="00055F5C">
              <w:trPr>
                <w:trHeight w:val="290"/>
              </w:trPr>
              <w:tc>
                <w:tcPr>
                  <w:tcW w:w="960" w:type="dxa"/>
                  <w:shd w:val="clear" w:color="auto" w:fill="auto"/>
                </w:tcPr>
                <w:p w14:paraId="6567CCCB" w14:textId="77777777" w:rsidR="00882EFE" w:rsidRPr="00391F9A" w:rsidRDefault="00882EFE" w:rsidP="00882EFE">
                  <w:pPr>
                    <w:ind w:right="39"/>
                    <w:jc w:val="both"/>
                    <w:rPr>
                      <w:rFonts w:eastAsia="Times New Roman" w:cstheme="minorHAnsi"/>
                    </w:rPr>
                  </w:pPr>
                  <w:r w:rsidRPr="00391F9A">
                    <w:rPr>
                      <w:rFonts w:eastAsia="Times New Roman" w:cstheme="minorHAnsi"/>
                    </w:rPr>
                    <w:t>7</w:t>
                  </w:r>
                </w:p>
              </w:tc>
              <w:tc>
                <w:tcPr>
                  <w:tcW w:w="1870" w:type="dxa"/>
                  <w:shd w:val="clear" w:color="auto" w:fill="auto"/>
                </w:tcPr>
                <w:p w14:paraId="5A287D4F" w14:textId="469111B7" w:rsidR="00882EFE" w:rsidRPr="00391F9A" w:rsidRDefault="00882EFE" w:rsidP="00882EFE">
                  <w:pPr>
                    <w:ind w:right="39"/>
                    <w:jc w:val="both"/>
                    <w:rPr>
                      <w:rFonts w:eastAsia="Times New Roman" w:cstheme="minorHAnsi"/>
                    </w:rPr>
                  </w:pPr>
                  <w:r>
                    <w:rPr>
                      <w:rFonts w:eastAsia="Times New Roman" w:cstheme="minorHAnsi"/>
                    </w:rPr>
                    <w:t>Feb</w:t>
                  </w:r>
                  <w:r w:rsidRPr="00391F9A">
                    <w:rPr>
                      <w:rFonts w:eastAsia="Times New Roman" w:cstheme="minorHAnsi"/>
                    </w:rPr>
                    <w:t xml:space="preserve"> </w:t>
                  </w:r>
                  <w:r>
                    <w:rPr>
                      <w:rFonts w:eastAsia="Times New Roman" w:cstheme="minorHAnsi"/>
                    </w:rPr>
                    <w:t>20</w:t>
                  </w:r>
                  <w:r w:rsidRPr="00391F9A">
                    <w:rPr>
                      <w:rFonts w:eastAsia="Times New Roman" w:cstheme="minorHAnsi"/>
                    </w:rPr>
                    <w:t xml:space="preserve"> – </w:t>
                  </w:r>
                  <w:r>
                    <w:rPr>
                      <w:rFonts w:eastAsia="Times New Roman" w:cstheme="minorHAnsi"/>
                    </w:rPr>
                    <w:t>24</w:t>
                  </w:r>
                  <w:r w:rsidRPr="00391F9A">
                    <w:rPr>
                      <w:rFonts w:eastAsia="Times New Roman" w:cstheme="minorHAnsi"/>
                    </w:rPr>
                    <w:t xml:space="preserve"> </w:t>
                  </w:r>
                </w:p>
              </w:tc>
              <w:tc>
                <w:tcPr>
                  <w:tcW w:w="5286" w:type="dxa"/>
                  <w:shd w:val="clear" w:color="auto" w:fill="auto"/>
                  <w:vAlign w:val="center"/>
                </w:tcPr>
                <w:p w14:paraId="5E5C1950" w14:textId="683D8F72" w:rsidR="00882EFE" w:rsidRPr="00391F9A" w:rsidRDefault="00882EFE" w:rsidP="00882EFE">
                  <w:pPr>
                    <w:ind w:right="39"/>
                    <w:jc w:val="both"/>
                    <w:rPr>
                      <w:rFonts w:eastAsia="Times New Roman" w:cstheme="minorHAnsi"/>
                    </w:rPr>
                  </w:pPr>
                  <w:r>
                    <w:rPr>
                      <w:rFonts w:ascii="Calibri" w:hAnsi="Calibri" w:cs="Calibri"/>
                      <w:color w:val="000000"/>
                    </w:rPr>
                    <w:t>Reading Week. No lectures or activities.</w:t>
                  </w:r>
                </w:p>
              </w:tc>
            </w:tr>
            <w:tr w:rsidR="00882EFE" w:rsidRPr="00391F9A" w14:paraId="67FA290A" w14:textId="77777777" w:rsidTr="00055F5C">
              <w:trPr>
                <w:trHeight w:val="271"/>
              </w:trPr>
              <w:tc>
                <w:tcPr>
                  <w:tcW w:w="960" w:type="dxa"/>
                  <w:shd w:val="clear" w:color="auto" w:fill="auto"/>
                </w:tcPr>
                <w:p w14:paraId="60223E8D" w14:textId="77777777" w:rsidR="00882EFE" w:rsidRPr="00391F9A" w:rsidRDefault="00882EFE" w:rsidP="00882EFE">
                  <w:pPr>
                    <w:ind w:right="39"/>
                    <w:jc w:val="both"/>
                    <w:rPr>
                      <w:rFonts w:eastAsia="Times New Roman" w:cstheme="minorHAnsi"/>
                    </w:rPr>
                  </w:pPr>
                  <w:r w:rsidRPr="00391F9A">
                    <w:rPr>
                      <w:rFonts w:eastAsia="Times New Roman" w:cstheme="minorHAnsi"/>
                    </w:rPr>
                    <w:t>8</w:t>
                  </w:r>
                </w:p>
              </w:tc>
              <w:tc>
                <w:tcPr>
                  <w:tcW w:w="1870" w:type="dxa"/>
                  <w:shd w:val="clear" w:color="auto" w:fill="auto"/>
                </w:tcPr>
                <w:p w14:paraId="1CC69AB1" w14:textId="2200A344" w:rsidR="00882EFE" w:rsidRPr="00391F9A" w:rsidRDefault="00882EFE" w:rsidP="00882EFE">
                  <w:pPr>
                    <w:ind w:right="39"/>
                    <w:jc w:val="both"/>
                    <w:rPr>
                      <w:rFonts w:eastAsia="Times New Roman" w:cstheme="minorHAnsi"/>
                    </w:rPr>
                  </w:pPr>
                  <w:r>
                    <w:rPr>
                      <w:rFonts w:eastAsia="Times New Roman" w:cstheme="minorHAnsi"/>
                    </w:rPr>
                    <w:t>Feb</w:t>
                  </w:r>
                  <w:r w:rsidRPr="00391F9A">
                    <w:rPr>
                      <w:rFonts w:eastAsia="Times New Roman" w:cstheme="minorHAnsi"/>
                    </w:rPr>
                    <w:t xml:space="preserve"> 2</w:t>
                  </w:r>
                  <w:r>
                    <w:rPr>
                      <w:rFonts w:eastAsia="Times New Roman" w:cstheme="minorHAnsi"/>
                    </w:rPr>
                    <w:t>7</w:t>
                  </w:r>
                  <w:r w:rsidRPr="00391F9A">
                    <w:rPr>
                      <w:rFonts w:eastAsia="Times New Roman" w:cstheme="minorHAnsi"/>
                    </w:rPr>
                    <w:t xml:space="preserve"> – </w:t>
                  </w:r>
                  <w:r>
                    <w:rPr>
                      <w:rFonts w:eastAsia="Times New Roman" w:cstheme="minorHAnsi"/>
                    </w:rPr>
                    <w:t xml:space="preserve">Mar </w:t>
                  </w:r>
                  <w:r w:rsidR="00996231">
                    <w:rPr>
                      <w:rFonts w:eastAsia="Times New Roman" w:cstheme="minorHAnsi"/>
                    </w:rPr>
                    <w:t>3</w:t>
                  </w:r>
                  <w:r w:rsidRPr="00391F9A">
                    <w:rPr>
                      <w:rFonts w:eastAsia="Times New Roman" w:cstheme="minorHAnsi"/>
                    </w:rPr>
                    <w:t xml:space="preserve"> </w:t>
                  </w:r>
                </w:p>
              </w:tc>
              <w:tc>
                <w:tcPr>
                  <w:tcW w:w="5286" w:type="dxa"/>
                  <w:shd w:val="clear" w:color="auto" w:fill="auto"/>
                  <w:vAlign w:val="center"/>
                </w:tcPr>
                <w:p w14:paraId="0A292842" w14:textId="12A08A44" w:rsidR="00882EFE" w:rsidRPr="00391F9A" w:rsidRDefault="00BD3CBD" w:rsidP="00882EFE">
                  <w:pPr>
                    <w:ind w:right="39"/>
                    <w:jc w:val="both"/>
                    <w:rPr>
                      <w:rFonts w:eastAsia="Times New Roman" w:cstheme="minorHAnsi"/>
                    </w:rPr>
                  </w:pPr>
                  <w:r w:rsidRPr="00391F9A">
                    <w:rPr>
                      <w:rFonts w:eastAsia="Times New Roman" w:cstheme="minorHAnsi"/>
                    </w:rPr>
                    <w:t>Credit scoring and GLM applied in banking I</w:t>
                  </w:r>
                  <w:r>
                    <w:rPr>
                      <w:rFonts w:eastAsia="Times New Roman" w:cstheme="minorHAnsi"/>
                    </w:rPr>
                    <w:t>I</w:t>
                  </w:r>
                </w:p>
              </w:tc>
            </w:tr>
            <w:tr w:rsidR="00882EFE" w:rsidRPr="00391F9A" w14:paraId="7F1B6EA0" w14:textId="77777777" w:rsidTr="00055F5C">
              <w:trPr>
                <w:trHeight w:val="290"/>
              </w:trPr>
              <w:tc>
                <w:tcPr>
                  <w:tcW w:w="960" w:type="dxa"/>
                  <w:shd w:val="clear" w:color="auto" w:fill="auto"/>
                </w:tcPr>
                <w:p w14:paraId="03056643" w14:textId="77777777" w:rsidR="00882EFE" w:rsidRPr="00391F9A" w:rsidRDefault="00882EFE" w:rsidP="00882EFE">
                  <w:pPr>
                    <w:ind w:right="39"/>
                    <w:jc w:val="both"/>
                    <w:rPr>
                      <w:rFonts w:eastAsia="Times New Roman" w:cstheme="minorHAnsi"/>
                    </w:rPr>
                  </w:pPr>
                  <w:r w:rsidRPr="00391F9A">
                    <w:rPr>
                      <w:rFonts w:eastAsia="Times New Roman" w:cstheme="minorHAnsi"/>
                    </w:rPr>
                    <w:t>9</w:t>
                  </w:r>
                </w:p>
              </w:tc>
              <w:tc>
                <w:tcPr>
                  <w:tcW w:w="1870" w:type="dxa"/>
                  <w:shd w:val="clear" w:color="auto" w:fill="auto"/>
                </w:tcPr>
                <w:p w14:paraId="0130D4F6" w14:textId="3EF73A0B" w:rsidR="00882EFE" w:rsidRPr="00391F9A" w:rsidRDefault="00996231" w:rsidP="00882EFE">
                  <w:pPr>
                    <w:ind w:right="39"/>
                    <w:jc w:val="both"/>
                    <w:rPr>
                      <w:rFonts w:eastAsia="Times New Roman" w:cstheme="minorHAnsi"/>
                    </w:rPr>
                  </w:pPr>
                  <w:r>
                    <w:rPr>
                      <w:rFonts w:eastAsia="Times New Roman" w:cstheme="minorHAnsi"/>
                    </w:rPr>
                    <w:t>Mar 6</w:t>
                  </w:r>
                  <w:r w:rsidR="00882EFE" w:rsidRPr="00391F9A">
                    <w:rPr>
                      <w:rFonts w:eastAsia="Times New Roman" w:cstheme="minorHAnsi"/>
                    </w:rPr>
                    <w:t xml:space="preserve"> – </w:t>
                  </w:r>
                  <w:r>
                    <w:rPr>
                      <w:rFonts w:eastAsia="Times New Roman" w:cstheme="minorHAnsi"/>
                    </w:rPr>
                    <w:t>10</w:t>
                  </w:r>
                  <w:r w:rsidR="00882EFE" w:rsidRPr="00391F9A">
                    <w:rPr>
                      <w:rFonts w:eastAsia="Times New Roman" w:cstheme="minorHAnsi"/>
                    </w:rPr>
                    <w:t xml:space="preserve"> </w:t>
                  </w:r>
                </w:p>
              </w:tc>
              <w:tc>
                <w:tcPr>
                  <w:tcW w:w="5286" w:type="dxa"/>
                  <w:shd w:val="clear" w:color="auto" w:fill="auto"/>
                  <w:vAlign w:val="center"/>
                </w:tcPr>
                <w:p w14:paraId="496692D2" w14:textId="51335B72" w:rsidR="00882EFE" w:rsidRPr="00391F9A" w:rsidRDefault="00882EFE" w:rsidP="00882EFE">
                  <w:pPr>
                    <w:ind w:right="39"/>
                    <w:jc w:val="both"/>
                    <w:rPr>
                      <w:rFonts w:eastAsia="Times New Roman" w:cstheme="minorHAnsi"/>
                    </w:rPr>
                  </w:pPr>
                  <w:r>
                    <w:rPr>
                      <w:rFonts w:ascii="Calibri" w:hAnsi="Calibri" w:cs="Calibri"/>
                      <w:color w:val="000000"/>
                    </w:rPr>
                    <w:t>LGD and EAD models –Ensembles</w:t>
                  </w:r>
                </w:p>
              </w:tc>
            </w:tr>
            <w:tr w:rsidR="00882EFE" w:rsidRPr="00391F9A" w14:paraId="7474210A" w14:textId="77777777" w:rsidTr="00055F5C">
              <w:trPr>
                <w:trHeight w:val="271"/>
              </w:trPr>
              <w:tc>
                <w:tcPr>
                  <w:tcW w:w="960" w:type="dxa"/>
                  <w:shd w:val="clear" w:color="auto" w:fill="auto"/>
                </w:tcPr>
                <w:p w14:paraId="5A6FF63F" w14:textId="77777777" w:rsidR="00882EFE" w:rsidRPr="00391F9A" w:rsidRDefault="00882EFE" w:rsidP="00882EFE">
                  <w:pPr>
                    <w:ind w:right="39"/>
                    <w:jc w:val="both"/>
                    <w:rPr>
                      <w:rFonts w:eastAsia="Times New Roman" w:cstheme="minorHAnsi"/>
                    </w:rPr>
                  </w:pPr>
                  <w:r w:rsidRPr="00391F9A">
                    <w:rPr>
                      <w:rFonts w:eastAsia="Times New Roman" w:cstheme="minorHAnsi"/>
                    </w:rPr>
                    <w:t>10</w:t>
                  </w:r>
                </w:p>
              </w:tc>
              <w:tc>
                <w:tcPr>
                  <w:tcW w:w="1870" w:type="dxa"/>
                  <w:shd w:val="clear" w:color="auto" w:fill="auto"/>
                </w:tcPr>
                <w:p w14:paraId="1446AE20" w14:textId="0B7988CE" w:rsidR="00882EFE" w:rsidRPr="00391F9A" w:rsidRDefault="00996231" w:rsidP="00882EFE">
                  <w:pPr>
                    <w:ind w:right="39"/>
                    <w:jc w:val="both"/>
                    <w:rPr>
                      <w:rFonts w:eastAsia="Times New Roman" w:cstheme="minorHAnsi"/>
                    </w:rPr>
                  </w:pPr>
                  <w:r>
                    <w:rPr>
                      <w:rFonts w:eastAsia="Times New Roman" w:cstheme="minorHAnsi"/>
                    </w:rPr>
                    <w:t>Mar</w:t>
                  </w:r>
                  <w:r w:rsidR="00882EFE" w:rsidRPr="00391F9A">
                    <w:rPr>
                      <w:rFonts w:eastAsia="Times New Roman" w:cstheme="minorHAnsi"/>
                    </w:rPr>
                    <w:t xml:space="preserve"> </w:t>
                  </w:r>
                  <w:r>
                    <w:rPr>
                      <w:rFonts w:eastAsia="Times New Roman" w:cstheme="minorHAnsi"/>
                    </w:rPr>
                    <w:t>13</w:t>
                  </w:r>
                  <w:r w:rsidR="00882EFE" w:rsidRPr="00391F9A">
                    <w:rPr>
                      <w:rFonts w:eastAsia="Times New Roman" w:cstheme="minorHAnsi"/>
                    </w:rPr>
                    <w:t xml:space="preserve"> – </w:t>
                  </w:r>
                  <w:r w:rsidR="002E6A35">
                    <w:rPr>
                      <w:rFonts w:eastAsia="Times New Roman" w:cstheme="minorHAnsi"/>
                    </w:rPr>
                    <w:t>17</w:t>
                  </w:r>
                  <w:r w:rsidR="00882EFE" w:rsidRPr="00391F9A">
                    <w:rPr>
                      <w:rFonts w:eastAsia="Times New Roman" w:cstheme="minorHAnsi"/>
                    </w:rPr>
                    <w:t xml:space="preserve"> </w:t>
                  </w:r>
                </w:p>
              </w:tc>
              <w:tc>
                <w:tcPr>
                  <w:tcW w:w="5286" w:type="dxa"/>
                  <w:shd w:val="clear" w:color="auto" w:fill="auto"/>
                  <w:vAlign w:val="center"/>
                </w:tcPr>
                <w:p w14:paraId="7692AFED" w14:textId="485348DE" w:rsidR="00882EFE" w:rsidRPr="00391F9A" w:rsidRDefault="00882EFE" w:rsidP="00882EFE">
                  <w:pPr>
                    <w:ind w:right="39"/>
                    <w:jc w:val="both"/>
                    <w:rPr>
                      <w:rFonts w:eastAsia="Times New Roman" w:cstheme="minorHAnsi"/>
                    </w:rPr>
                  </w:pPr>
                  <w:r>
                    <w:rPr>
                      <w:rFonts w:ascii="Calibri" w:hAnsi="Calibri" w:cs="Calibri"/>
                      <w:color w:val="000000"/>
                      <w:lang w:val="es-CL"/>
                    </w:rPr>
                    <w:t>Model interpretation and transparency</w:t>
                  </w:r>
                </w:p>
              </w:tc>
            </w:tr>
            <w:tr w:rsidR="00882EFE" w:rsidRPr="00391F9A" w14:paraId="7FDB679F" w14:textId="77777777" w:rsidTr="00055F5C">
              <w:trPr>
                <w:trHeight w:val="290"/>
              </w:trPr>
              <w:tc>
                <w:tcPr>
                  <w:tcW w:w="960" w:type="dxa"/>
                  <w:shd w:val="clear" w:color="auto" w:fill="auto"/>
                </w:tcPr>
                <w:p w14:paraId="262465E9" w14:textId="77777777" w:rsidR="00882EFE" w:rsidRPr="00391F9A" w:rsidRDefault="00882EFE" w:rsidP="00882EFE">
                  <w:pPr>
                    <w:ind w:right="39"/>
                    <w:jc w:val="both"/>
                    <w:rPr>
                      <w:rFonts w:eastAsia="Times New Roman" w:cstheme="minorHAnsi"/>
                    </w:rPr>
                  </w:pPr>
                  <w:r w:rsidRPr="00391F9A">
                    <w:rPr>
                      <w:rFonts w:eastAsia="Times New Roman" w:cstheme="minorHAnsi"/>
                    </w:rPr>
                    <w:t>11</w:t>
                  </w:r>
                </w:p>
              </w:tc>
              <w:tc>
                <w:tcPr>
                  <w:tcW w:w="1870" w:type="dxa"/>
                  <w:shd w:val="clear" w:color="auto" w:fill="auto"/>
                </w:tcPr>
                <w:p w14:paraId="5D665710" w14:textId="22766C14" w:rsidR="00882EFE" w:rsidRPr="00391F9A" w:rsidRDefault="002E6A35" w:rsidP="00882EFE">
                  <w:pPr>
                    <w:ind w:right="39"/>
                    <w:jc w:val="both"/>
                    <w:rPr>
                      <w:rFonts w:eastAsia="Times New Roman" w:cstheme="minorHAnsi"/>
                    </w:rPr>
                  </w:pPr>
                  <w:r>
                    <w:rPr>
                      <w:rFonts w:eastAsia="Times New Roman" w:cstheme="minorHAnsi"/>
                    </w:rPr>
                    <w:t>Mar</w:t>
                  </w:r>
                  <w:r w:rsidR="00882EFE" w:rsidRPr="00391F9A">
                    <w:rPr>
                      <w:rFonts w:eastAsia="Times New Roman" w:cstheme="minorHAnsi"/>
                    </w:rPr>
                    <w:t xml:space="preserve"> </w:t>
                  </w:r>
                  <w:r>
                    <w:rPr>
                      <w:rFonts w:eastAsia="Times New Roman" w:cstheme="minorHAnsi"/>
                    </w:rPr>
                    <w:t>20</w:t>
                  </w:r>
                  <w:r w:rsidR="00882EFE" w:rsidRPr="00391F9A">
                    <w:rPr>
                      <w:rFonts w:eastAsia="Times New Roman" w:cstheme="minorHAnsi"/>
                    </w:rPr>
                    <w:t xml:space="preserve"> – </w:t>
                  </w:r>
                  <w:r>
                    <w:rPr>
                      <w:rFonts w:eastAsia="Times New Roman" w:cstheme="minorHAnsi"/>
                    </w:rPr>
                    <w:t>24</w:t>
                  </w:r>
                  <w:r w:rsidR="00882EFE" w:rsidRPr="00391F9A">
                    <w:rPr>
                      <w:rFonts w:eastAsia="Times New Roman" w:cstheme="minorHAnsi"/>
                    </w:rPr>
                    <w:t xml:space="preserve"> </w:t>
                  </w:r>
                </w:p>
              </w:tc>
              <w:tc>
                <w:tcPr>
                  <w:tcW w:w="5286" w:type="dxa"/>
                  <w:shd w:val="clear" w:color="auto" w:fill="auto"/>
                  <w:vAlign w:val="center"/>
                </w:tcPr>
                <w:p w14:paraId="3A26DC3A" w14:textId="4FAC68EB" w:rsidR="00882EFE" w:rsidRPr="00391F9A" w:rsidRDefault="00882EFE" w:rsidP="00882EFE">
                  <w:pPr>
                    <w:ind w:right="39"/>
                    <w:jc w:val="both"/>
                    <w:rPr>
                      <w:rFonts w:eastAsia="Times New Roman" w:cstheme="minorHAnsi"/>
                      <w:lang w:val="en-GB"/>
                    </w:rPr>
                  </w:pPr>
                  <w:r>
                    <w:rPr>
                      <w:rFonts w:ascii="Calibri" w:hAnsi="Calibri" w:cs="Calibri"/>
                      <w:color w:val="000000"/>
                    </w:rPr>
                    <w:t>Introduction to deep learning</w:t>
                  </w:r>
                </w:p>
              </w:tc>
            </w:tr>
            <w:tr w:rsidR="00882EFE" w:rsidRPr="00391F9A" w14:paraId="0D59566E" w14:textId="77777777" w:rsidTr="00055F5C">
              <w:trPr>
                <w:trHeight w:val="271"/>
              </w:trPr>
              <w:tc>
                <w:tcPr>
                  <w:tcW w:w="960" w:type="dxa"/>
                  <w:shd w:val="clear" w:color="auto" w:fill="auto"/>
                </w:tcPr>
                <w:p w14:paraId="1F2334B4" w14:textId="77777777" w:rsidR="00882EFE" w:rsidRPr="00391F9A" w:rsidRDefault="00882EFE" w:rsidP="00882EFE">
                  <w:pPr>
                    <w:ind w:right="39"/>
                    <w:jc w:val="both"/>
                    <w:rPr>
                      <w:rFonts w:eastAsia="Times New Roman" w:cstheme="minorHAnsi"/>
                    </w:rPr>
                  </w:pPr>
                  <w:r w:rsidRPr="00391F9A">
                    <w:rPr>
                      <w:rFonts w:eastAsia="Times New Roman" w:cstheme="minorHAnsi"/>
                    </w:rPr>
                    <w:t>12</w:t>
                  </w:r>
                </w:p>
              </w:tc>
              <w:tc>
                <w:tcPr>
                  <w:tcW w:w="1870" w:type="dxa"/>
                  <w:shd w:val="clear" w:color="auto" w:fill="auto"/>
                </w:tcPr>
                <w:p w14:paraId="24A98D46" w14:textId="4BA09E0A" w:rsidR="00882EFE" w:rsidRPr="00391F9A" w:rsidRDefault="002E6A35" w:rsidP="00882EFE">
                  <w:pPr>
                    <w:ind w:right="39"/>
                    <w:jc w:val="both"/>
                    <w:rPr>
                      <w:rFonts w:eastAsia="Times New Roman" w:cstheme="minorHAnsi"/>
                    </w:rPr>
                  </w:pPr>
                  <w:r>
                    <w:rPr>
                      <w:rFonts w:eastAsia="Times New Roman" w:cstheme="minorHAnsi"/>
                    </w:rPr>
                    <w:t>Mar</w:t>
                  </w:r>
                  <w:r w:rsidR="00882EFE" w:rsidRPr="00391F9A">
                    <w:rPr>
                      <w:rFonts w:eastAsia="Times New Roman" w:cstheme="minorHAnsi"/>
                    </w:rPr>
                    <w:t xml:space="preserve"> 2</w:t>
                  </w:r>
                  <w:r>
                    <w:rPr>
                      <w:rFonts w:eastAsia="Times New Roman" w:cstheme="minorHAnsi"/>
                    </w:rPr>
                    <w:t>7</w:t>
                  </w:r>
                  <w:r w:rsidR="00882EFE" w:rsidRPr="00391F9A">
                    <w:rPr>
                      <w:rFonts w:eastAsia="Times New Roman" w:cstheme="minorHAnsi"/>
                    </w:rPr>
                    <w:t xml:space="preserve"> – </w:t>
                  </w:r>
                  <w:r w:rsidR="00C7672C">
                    <w:rPr>
                      <w:rFonts w:eastAsia="Times New Roman" w:cstheme="minorHAnsi"/>
                    </w:rPr>
                    <w:t>31</w:t>
                  </w:r>
                  <w:r>
                    <w:rPr>
                      <w:rFonts w:eastAsia="Times New Roman" w:cstheme="minorHAnsi"/>
                    </w:rPr>
                    <w:t xml:space="preserve"> </w:t>
                  </w:r>
                  <w:r w:rsidR="00882EFE" w:rsidRPr="00391F9A">
                    <w:rPr>
                      <w:rFonts w:eastAsia="Times New Roman" w:cstheme="minorHAnsi"/>
                    </w:rPr>
                    <w:t xml:space="preserve"> </w:t>
                  </w:r>
                </w:p>
              </w:tc>
              <w:tc>
                <w:tcPr>
                  <w:tcW w:w="5286" w:type="dxa"/>
                  <w:shd w:val="clear" w:color="auto" w:fill="auto"/>
                  <w:vAlign w:val="center"/>
                </w:tcPr>
                <w:p w14:paraId="179D6C88" w14:textId="0FFCBE59" w:rsidR="00882EFE" w:rsidRPr="00391F9A" w:rsidRDefault="00882EFE" w:rsidP="00882EFE">
                  <w:pPr>
                    <w:ind w:right="39"/>
                    <w:jc w:val="both"/>
                    <w:rPr>
                      <w:rFonts w:eastAsia="Times New Roman" w:cstheme="minorHAnsi"/>
                    </w:rPr>
                  </w:pPr>
                  <w:r>
                    <w:rPr>
                      <w:rFonts w:ascii="Calibri" w:hAnsi="Calibri" w:cs="Calibri"/>
                      <w:color w:val="000000"/>
                    </w:rPr>
                    <w:t>Convolutions and architecture design I</w:t>
                  </w:r>
                </w:p>
              </w:tc>
            </w:tr>
            <w:tr w:rsidR="00882EFE" w:rsidRPr="00391F9A" w14:paraId="1D888684" w14:textId="77777777" w:rsidTr="00055F5C">
              <w:trPr>
                <w:trHeight w:val="290"/>
              </w:trPr>
              <w:tc>
                <w:tcPr>
                  <w:tcW w:w="960" w:type="dxa"/>
                  <w:shd w:val="clear" w:color="auto" w:fill="auto"/>
                </w:tcPr>
                <w:p w14:paraId="37557634" w14:textId="77777777" w:rsidR="00882EFE" w:rsidRPr="00391F9A" w:rsidRDefault="00882EFE" w:rsidP="00882EFE">
                  <w:pPr>
                    <w:ind w:right="39"/>
                    <w:jc w:val="both"/>
                    <w:rPr>
                      <w:rFonts w:eastAsia="Times New Roman" w:cstheme="minorHAnsi"/>
                    </w:rPr>
                  </w:pPr>
                  <w:r w:rsidRPr="00391F9A">
                    <w:rPr>
                      <w:rFonts w:eastAsia="Times New Roman" w:cstheme="minorHAnsi"/>
                    </w:rPr>
                    <w:t>13</w:t>
                  </w:r>
                </w:p>
              </w:tc>
              <w:tc>
                <w:tcPr>
                  <w:tcW w:w="1870" w:type="dxa"/>
                  <w:shd w:val="clear" w:color="auto" w:fill="auto"/>
                </w:tcPr>
                <w:p w14:paraId="64A4843A" w14:textId="2DFB7C7E" w:rsidR="00882EFE" w:rsidRPr="00391F9A" w:rsidRDefault="00C7672C" w:rsidP="00882EFE">
                  <w:pPr>
                    <w:ind w:right="39"/>
                    <w:jc w:val="both"/>
                    <w:rPr>
                      <w:rFonts w:eastAsia="Times New Roman" w:cstheme="minorHAnsi"/>
                    </w:rPr>
                  </w:pPr>
                  <w:r>
                    <w:rPr>
                      <w:rFonts w:eastAsia="Times New Roman" w:cstheme="minorHAnsi"/>
                    </w:rPr>
                    <w:t>Apr</w:t>
                  </w:r>
                  <w:r w:rsidR="00882EFE" w:rsidRPr="00391F9A">
                    <w:rPr>
                      <w:rFonts w:eastAsia="Times New Roman" w:cstheme="minorHAnsi"/>
                    </w:rPr>
                    <w:t xml:space="preserve"> </w:t>
                  </w:r>
                  <w:r w:rsidR="00FE0EDA">
                    <w:rPr>
                      <w:rFonts w:eastAsia="Times New Roman" w:cstheme="minorHAnsi"/>
                    </w:rPr>
                    <w:t>3</w:t>
                  </w:r>
                  <w:r w:rsidR="00882EFE" w:rsidRPr="00391F9A">
                    <w:rPr>
                      <w:rFonts w:eastAsia="Times New Roman" w:cstheme="minorHAnsi"/>
                    </w:rPr>
                    <w:t xml:space="preserve"> –</w:t>
                  </w:r>
                  <w:r>
                    <w:rPr>
                      <w:rFonts w:eastAsia="Times New Roman" w:cstheme="minorHAnsi"/>
                    </w:rPr>
                    <w:t xml:space="preserve"> </w:t>
                  </w:r>
                  <w:r w:rsidR="003A6638">
                    <w:rPr>
                      <w:rFonts w:eastAsia="Times New Roman" w:cstheme="minorHAnsi"/>
                    </w:rPr>
                    <w:t>7</w:t>
                  </w:r>
                </w:p>
              </w:tc>
              <w:tc>
                <w:tcPr>
                  <w:tcW w:w="5286" w:type="dxa"/>
                  <w:shd w:val="clear" w:color="auto" w:fill="auto"/>
                  <w:vAlign w:val="center"/>
                </w:tcPr>
                <w:p w14:paraId="16718F06" w14:textId="3B4C0BBD" w:rsidR="00882EFE" w:rsidRPr="00391F9A" w:rsidRDefault="00882EFE" w:rsidP="00882EFE">
                  <w:pPr>
                    <w:ind w:right="39"/>
                    <w:jc w:val="both"/>
                    <w:rPr>
                      <w:rFonts w:eastAsia="Times New Roman" w:cstheme="minorHAnsi"/>
                    </w:rPr>
                  </w:pPr>
                  <w:r>
                    <w:rPr>
                      <w:rFonts w:ascii="Calibri" w:hAnsi="Calibri" w:cs="Calibri"/>
                      <w:color w:val="000000"/>
                    </w:rPr>
                    <w:t>Convolutions and architecture design II</w:t>
                  </w:r>
                </w:p>
              </w:tc>
            </w:tr>
          </w:tbl>
          <w:p w14:paraId="0D801E36" w14:textId="77777777" w:rsidR="00391F9A" w:rsidRPr="00391F9A" w:rsidRDefault="00391F9A" w:rsidP="006C4871">
            <w:pPr>
              <w:ind w:right="39"/>
              <w:jc w:val="both"/>
              <w:rPr>
                <w:rFonts w:eastAsia="Times New Roman" w:cstheme="minorHAnsi"/>
              </w:rPr>
            </w:pPr>
          </w:p>
        </w:tc>
      </w:tr>
    </w:tbl>
    <w:p w14:paraId="3CF5C6B0" w14:textId="77777777" w:rsidR="00391F9A" w:rsidRDefault="00391F9A" w:rsidP="00391F9A">
      <w:pPr>
        <w:tabs>
          <w:tab w:val="center" w:pos="5040"/>
        </w:tabs>
        <w:rPr>
          <w:bCs/>
        </w:rPr>
      </w:pPr>
    </w:p>
    <w:tbl>
      <w:tblPr>
        <w:tblStyle w:val="TableGrid"/>
        <w:tblW w:w="10206" w:type="dxa"/>
        <w:tblInd w:w="-750" w:type="dxa"/>
        <w:tblLook w:val="04A0" w:firstRow="1" w:lastRow="0" w:firstColumn="1" w:lastColumn="0" w:noHBand="0" w:noVBand="1"/>
      </w:tblPr>
      <w:tblGrid>
        <w:gridCol w:w="1443"/>
        <w:gridCol w:w="8763"/>
      </w:tblGrid>
      <w:tr w:rsidR="00391F9A" w:rsidRPr="00426A2B" w14:paraId="006C12F7" w14:textId="77777777" w:rsidTr="006C4871">
        <w:trPr>
          <w:trHeight w:val="1579"/>
        </w:trPr>
        <w:tc>
          <w:tcPr>
            <w:tcW w:w="1443" w:type="dxa"/>
            <w:tcBorders>
              <w:top w:val="nil"/>
              <w:left w:val="nil"/>
              <w:bottom w:val="nil"/>
              <w:right w:val="nil"/>
            </w:tcBorders>
            <w:shd w:val="clear" w:color="auto" w:fill="auto"/>
            <w:vAlign w:val="center"/>
          </w:tcPr>
          <w:p w14:paraId="3BD417BE" w14:textId="77777777" w:rsidR="00391F9A" w:rsidRPr="00426A2B" w:rsidRDefault="00391F9A" w:rsidP="006C4871">
            <w:pPr>
              <w:pStyle w:val="ListParagraph"/>
              <w:spacing w:before="240"/>
              <w:ind w:left="0" w:right="-291"/>
              <w:rPr>
                <w:rFonts w:asciiTheme="majorHAnsi" w:hAnsiTheme="majorHAnsi" w:cstheme="majorHAnsi"/>
                <w:b/>
              </w:rPr>
            </w:pPr>
            <w:r w:rsidRPr="00426A2B">
              <w:rPr>
                <w:rFonts w:asciiTheme="majorHAnsi" w:hAnsiTheme="majorHAnsi" w:cstheme="majorHAnsi"/>
                <w:b/>
                <w:noProof/>
              </w:rPr>
              <w:drawing>
                <wp:anchor distT="0" distB="0" distL="114300" distR="114300" simplePos="0" relativeHeight="251664384" behindDoc="0" locked="0" layoutInCell="1" allowOverlap="1" wp14:anchorId="4D2045ED" wp14:editId="6A2777C7">
                  <wp:simplePos x="0" y="0"/>
                  <wp:positionH relativeFrom="margin">
                    <wp:posOffset>62865</wp:posOffset>
                  </wp:positionH>
                  <wp:positionV relativeFrom="margin">
                    <wp:posOffset>109220</wp:posOffset>
                  </wp:positionV>
                  <wp:extent cx="756285" cy="756285"/>
                  <wp:effectExtent l="0" t="0" r="0" b="0"/>
                  <wp:wrapSquare wrapText="bothSides"/>
                  <wp:docPr id="9" name="Graphic 13"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13" descr="Daily calendar"/>
                          <pic:cNvPicPr>
                            <a:picLocks noChangeAspect="1" noChangeArrowheads="1"/>
                          </pic:cNvPicPr>
                        </pic:nvPicPr>
                        <pic:blipFill>
                          <a:blip r:embed="rId9"/>
                          <a:stretch>
                            <a:fillRect/>
                          </a:stretch>
                        </pic:blipFill>
                        <pic:spPr bwMode="auto">
                          <a:xfrm>
                            <a:off x="0" y="0"/>
                            <a:ext cx="756285" cy="756285"/>
                          </a:xfrm>
                          <a:prstGeom prst="rect">
                            <a:avLst/>
                          </a:prstGeom>
                        </pic:spPr>
                      </pic:pic>
                    </a:graphicData>
                  </a:graphic>
                  <wp14:sizeRelH relativeFrom="margin">
                    <wp14:pctWidth>0</wp14:pctWidth>
                  </wp14:sizeRelH>
                  <wp14:sizeRelV relativeFrom="margin">
                    <wp14:pctHeight>0</wp14:pctHeight>
                  </wp14:sizeRelV>
                </wp:anchor>
              </w:drawing>
            </w:r>
          </w:p>
        </w:tc>
        <w:tc>
          <w:tcPr>
            <w:tcW w:w="8677" w:type="dxa"/>
            <w:tcBorders>
              <w:top w:val="nil"/>
              <w:left w:val="nil"/>
              <w:bottom w:val="nil"/>
              <w:right w:val="nil"/>
            </w:tcBorders>
            <w:shd w:val="clear" w:color="auto" w:fill="auto"/>
          </w:tcPr>
          <w:p w14:paraId="529FAAA4" w14:textId="77777777" w:rsidR="00391F9A" w:rsidRPr="00426A2B" w:rsidRDefault="00391F9A" w:rsidP="006C4871">
            <w:pPr>
              <w:pStyle w:val="ListParagraph"/>
              <w:ind w:left="0" w:right="-289"/>
              <w:rPr>
                <w:rFonts w:asciiTheme="majorHAnsi" w:hAnsiTheme="majorHAnsi" w:cstheme="majorHAnsi"/>
                <w:bCs/>
              </w:rPr>
            </w:pPr>
          </w:p>
          <w:tbl>
            <w:tblPr>
              <w:tblStyle w:val="TableGrid"/>
              <w:tblW w:w="8535" w:type="dxa"/>
              <w:tblCellMar>
                <w:left w:w="103" w:type="dxa"/>
              </w:tblCellMar>
              <w:tblLook w:val="04A0" w:firstRow="1" w:lastRow="0" w:firstColumn="1" w:lastColumn="0" w:noHBand="0" w:noVBand="1"/>
            </w:tblPr>
            <w:tblGrid>
              <w:gridCol w:w="1546"/>
              <w:gridCol w:w="1846"/>
              <w:gridCol w:w="1561"/>
              <w:gridCol w:w="1618"/>
              <w:gridCol w:w="1964"/>
            </w:tblGrid>
            <w:tr w:rsidR="00391F9A" w:rsidRPr="002B5500" w14:paraId="3E034C30" w14:textId="77777777" w:rsidTr="006C4871">
              <w:trPr>
                <w:trHeight w:val="113"/>
              </w:trPr>
              <w:tc>
                <w:tcPr>
                  <w:tcW w:w="1546" w:type="dxa"/>
                  <w:shd w:val="clear" w:color="auto" w:fill="auto"/>
                </w:tcPr>
                <w:p w14:paraId="52622E84" w14:textId="77777777" w:rsidR="00391F9A" w:rsidRPr="002B5500" w:rsidRDefault="00391F9A" w:rsidP="006C4871">
                  <w:pPr>
                    <w:rPr>
                      <w:rFonts w:cstheme="minorHAnsi"/>
                      <w:b/>
                    </w:rPr>
                  </w:pPr>
                  <w:r w:rsidRPr="002B5500">
                    <w:rPr>
                      <w:rFonts w:cstheme="minorHAnsi"/>
                      <w:b/>
                    </w:rPr>
                    <w:t>Classes Start</w:t>
                  </w:r>
                </w:p>
              </w:tc>
              <w:tc>
                <w:tcPr>
                  <w:tcW w:w="1846" w:type="dxa"/>
                  <w:shd w:val="clear" w:color="auto" w:fill="auto"/>
                </w:tcPr>
                <w:p w14:paraId="1B9F6F19" w14:textId="77777777" w:rsidR="00391F9A" w:rsidRPr="002B5500" w:rsidRDefault="00391F9A" w:rsidP="006C4871">
                  <w:pPr>
                    <w:rPr>
                      <w:rFonts w:cstheme="minorHAnsi"/>
                      <w:b/>
                    </w:rPr>
                  </w:pPr>
                  <w:r w:rsidRPr="002B5500">
                    <w:rPr>
                      <w:rFonts w:cstheme="minorHAnsi"/>
                      <w:b/>
                    </w:rPr>
                    <w:t>Reading Week</w:t>
                  </w:r>
                </w:p>
              </w:tc>
              <w:tc>
                <w:tcPr>
                  <w:tcW w:w="1561" w:type="dxa"/>
                  <w:shd w:val="clear" w:color="auto" w:fill="auto"/>
                </w:tcPr>
                <w:p w14:paraId="4E75D032" w14:textId="77777777" w:rsidR="00391F9A" w:rsidRPr="002B5500" w:rsidRDefault="00391F9A" w:rsidP="006C4871">
                  <w:pPr>
                    <w:rPr>
                      <w:rFonts w:cstheme="minorHAnsi"/>
                      <w:b/>
                    </w:rPr>
                  </w:pPr>
                  <w:r w:rsidRPr="002B5500">
                    <w:rPr>
                      <w:rFonts w:cstheme="minorHAnsi"/>
                      <w:b/>
                    </w:rPr>
                    <w:t>Classes End</w:t>
                  </w:r>
                </w:p>
              </w:tc>
              <w:tc>
                <w:tcPr>
                  <w:tcW w:w="1618" w:type="dxa"/>
                  <w:shd w:val="clear" w:color="auto" w:fill="auto"/>
                </w:tcPr>
                <w:p w14:paraId="18C0FE42" w14:textId="77777777" w:rsidR="00391F9A" w:rsidRPr="002B5500" w:rsidRDefault="00391F9A" w:rsidP="006C4871">
                  <w:pPr>
                    <w:rPr>
                      <w:rFonts w:cstheme="minorHAnsi"/>
                      <w:b/>
                    </w:rPr>
                  </w:pPr>
                  <w:r w:rsidRPr="002B5500">
                    <w:rPr>
                      <w:rFonts w:cstheme="minorHAnsi"/>
                      <w:b/>
                    </w:rPr>
                    <w:t>Study day(s)</w:t>
                  </w:r>
                </w:p>
              </w:tc>
              <w:tc>
                <w:tcPr>
                  <w:tcW w:w="1964" w:type="dxa"/>
                  <w:shd w:val="clear" w:color="auto" w:fill="auto"/>
                </w:tcPr>
                <w:p w14:paraId="3EE6F9A0" w14:textId="77777777" w:rsidR="00391F9A" w:rsidRPr="002B5500" w:rsidRDefault="00391F9A" w:rsidP="006C4871">
                  <w:pPr>
                    <w:rPr>
                      <w:rFonts w:cstheme="minorHAnsi"/>
                      <w:b/>
                    </w:rPr>
                  </w:pPr>
                  <w:r w:rsidRPr="002B5500">
                    <w:rPr>
                      <w:rFonts w:cstheme="minorHAnsi"/>
                      <w:b/>
                    </w:rPr>
                    <w:t>Exam Period</w:t>
                  </w:r>
                </w:p>
              </w:tc>
            </w:tr>
            <w:tr w:rsidR="00391F9A" w:rsidRPr="002B5500" w14:paraId="4E3D1F15" w14:textId="77777777" w:rsidTr="006C4871">
              <w:trPr>
                <w:trHeight w:val="191"/>
              </w:trPr>
              <w:tc>
                <w:tcPr>
                  <w:tcW w:w="1546" w:type="dxa"/>
                  <w:shd w:val="clear" w:color="auto" w:fill="auto"/>
                </w:tcPr>
                <w:p w14:paraId="1F8E97D8" w14:textId="7D330ECB" w:rsidR="00391F9A" w:rsidRPr="002B5500" w:rsidRDefault="003A6638" w:rsidP="006C4871">
                  <w:pPr>
                    <w:rPr>
                      <w:rFonts w:cstheme="minorHAnsi"/>
                      <w:bCs/>
                    </w:rPr>
                  </w:pPr>
                  <w:r>
                    <w:rPr>
                      <w:rFonts w:cstheme="minorHAnsi"/>
                      <w:bCs/>
                    </w:rPr>
                    <w:t xml:space="preserve">January </w:t>
                  </w:r>
                  <w:r w:rsidR="00FF70AC">
                    <w:rPr>
                      <w:rFonts w:cstheme="minorHAnsi"/>
                      <w:bCs/>
                    </w:rPr>
                    <w:t>10</w:t>
                  </w:r>
                </w:p>
              </w:tc>
              <w:tc>
                <w:tcPr>
                  <w:tcW w:w="1846" w:type="dxa"/>
                  <w:shd w:val="clear" w:color="auto" w:fill="auto"/>
                </w:tcPr>
                <w:p w14:paraId="3C63FB1B" w14:textId="11B42896" w:rsidR="00391F9A" w:rsidRPr="002B5500" w:rsidRDefault="003A6638" w:rsidP="006C4871">
                  <w:pPr>
                    <w:rPr>
                      <w:rFonts w:cstheme="minorHAnsi"/>
                      <w:bCs/>
                    </w:rPr>
                  </w:pPr>
                  <w:r>
                    <w:rPr>
                      <w:rFonts w:cstheme="minorHAnsi"/>
                      <w:bCs/>
                    </w:rPr>
                    <w:t xml:space="preserve">Feb </w:t>
                  </w:r>
                  <w:r w:rsidR="00FF70AC">
                    <w:rPr>
                      <w:rFonts w:ascii="Calibri" w:hAnsi="Calibri" w:cs="Calibri"/>
                      <w:color w:val="000000"/>
                      <w:sz w:val="22"/>
                      <w:szCs w:val="22"/>
                      <w:shd w:val="clear" w:color="auto" w:fill="FFFFFF"/>
                    </w:rPr>
                    <w:t>17</w:t>
                  </w:r>
                  <w:r>
                    <w:rPr>
                      <w:rFonts w:cstheme="minorHAnsi"/>
                      <w:bCs/>
                    </w:rPr>
                    <w:t xml:space="preserve">- </w:t>
                  </w:r>
                  <w:r w:rsidR="00FF70AC">
                    <w:rPr>
                      <w:rFonts w:cstheme="minorHAnsi"/>
                      <w:bCs/>
                    </w:rPr>
                    <w:t>25</w:t>
                  </w:r>
                </w:p>
              </w:tc>
              <w:tc>
                <w:tcPr>
                  <w:tcW w:w="1561" w:type="dxa"/>
                  <w:shd w:val="clear" w:color="auto" w:fill="auto"/>
                </w:tcPr>
                <w:p w14:paraId="62A51924" w14:textId="4A484A86" w:rsidR="00391F9A" w:rsidRPr="002B5500" w:rsidRDefault="003A6638" w:rsidP="006C4871">
                  <w:pPr>
                    <w:rPr>
                      <w:rFonts w:cstheme="minorHAnsi"/>
                      <w:bCs/>
                    </w:rPr>
                  </w:pPr>
                  <w:r>
                    <w:rPr>
                      <w:rFonts w:cstheme="minorHAnsi"/>
                      <w:bCs/>
                    </w:rPr>
                    <w:t>April 9</w:t>
                  </w:r>
                </w:p>
              </w:tc>
              <w:tc>
                <w:tcPr>
                  <w:tcW w:w="1618" w:type="dxa"/>
                  <w:shd w:val="clear" w:color="auto" w:fill="auto"/>
                </w:tcPr>
                <w:p w14:paraId="72C26E37" w14:textId="2C995B69" w:rsidR="00391F9A" w:rsidRPr="002B5500" w:rsidRDefault="003A6638" w:rsidP="006C4871">
                  <w:pPr>
                    <w:rPr>
                      <w:rFonts w:cstheme="minorHAnsi"/>
                      <w:bCs/>
                    </w:rPr>
                  </w:pPr>
                  <w:r>
                    <w:rPr>
                      <w:rFonts w:cstheme="minorHAnsi"/>
                      <w:bCs/>
                    </w:rPr>
                    <w:t>April 10</w:t>
                  </w:r>
                </w:p>
              </w:tc>
              <w:tc>
                <w:tcPr>
                  <w:tcW w:w="1964" w:type="dxa"/>
                  <w:shd w:val="clear" w:color="auto" w:fill="auto"/>
                </w:tcPr>
                <w:p w14:paraId="280B22A7" w14:textId="746E6F15" w:rsidR="00391F9A" w:rsidRPr="002B5500" w:rsidRDefault="003A6638" w:rsidP="006C4871">
                  <w:pPr>
                    <w:rPr>
                      <w:rFonts w:cstheme="minorHAnsi"/>
                      <w:bCs/>
                    </w:rPr>
                  </w:pPr>
                  <w:r>
                    <w:rPr>
                      <w:rFonts w:cstheme="minorHAnsi"/>
                      <w:bCs/>
                    </w:rPr>
                    <w:t>April</w:t>
                  </w:r>
                  <w:r w:rsidR="00391F9A" w:rsidRPr="002B5500">
                    <w:rPr>
                      <w:rFonts w:cstheme="minorHAnsi"/>
                      <w:bCs/>
                    </w:rPr>
                    <w:t xml:space="preserve"> 1</w:t>
                  </w:r>
                  <w:r>
                    <w:rPr>
                      <w:rFonts w:cstheme="minorHAnsi"/>
                      <w:bCs/>
                    </w:rPr>
                    <w:t>1</w:t>
                  </w:r>
                  <w:r w:rsidR="00391F9A" w:rsidRPr="002B5500">
                    <w:rPr>
                      <w:rFonts w:cstheme="minorHAnsi"/>
                      <w:bCs/>
                    </w:rPr>
                    <w:t xml:space="preserve"> - 2</w:t>
                  </w:r>
                  <w:r>
                    <w:rPr>
                      <w:rFonts w:cstheme="minorHAnsi"/>
                      <w:bCs/>
                    </w:rPr>
                    <w:t>2</w:t>
                  </w:r>
                </w:p>
              </w:tc>
            </w:tr>
          </w:tbl>
          <w:p w14:paraId="19DE4E3C" w14:textId="08EBB1D7" w:rsidR="00391F9A" w:rsidRPr="00426A2B" w:rsidRDefault="00391F9A" w:rsidP="006C4871">
            <w:pPr>
              <w:rPr>
                <w:rFonts w:asciiTheme="majorHAnsi" w:hAnsiTheme="majorHAnsi" w:cstheme="majorHAnsi"/>
              </w:rPr>
            </w:pPr>
          </w:p>
        </w:tc>
      </w:tr>
    </w:tbl>
    <w:p w14:paraId="2A8471C0" w14:textId="069D44BD" w:rsidR="00610064" w:rsidRPr="00103931" w:rsidRDefault="00610064" w:rsidP="00610064">
      <w:pPr>
        <w:rPr>
          <w:lang w:val="en-CA"/>
        </w:rPr>
      </w:pPr>
      <w:r w:rsidRPr="00103931">
        <w:rPr>
          <w:b/>
          <w:bCs/>
          <w:lang w:val="en-CA"/>
        </w:rPr>
        <w:t>Contingency plan for an in-person class pivoting to 100% online learning</w:t>
      </w:r>
    </w:p>
    <w:p w14:paraId="623F1E90" w14:textId="29B3C8CE" w:rsidR="00610064" w:rsidRDefault="00610064" w:rsidP="00610064">
      <w:pPr>
        <w:rPr>
          <w:lang w:val="en-CA"/>
        </w:rPr>
      </w:pPr>
      <w:r w:rsidRPr="003B25F7">
        <w:rPr>
          <w:lang w:val="en-CA"/>
        </w:rPr>
        <w:t>In the event of a COVID-19 resurgence during the course that necessitates the course delivery moving away from face-to-face interaction, all remaining course content will be delivered entirely online, synchronously (i.e., at the times indicated in the timetable)</w:t>
      </w:r>
      <w:r w:rsidR="00B637F4">
        <w:rPr>
          <w:lang w:val="en-CA"/>
        </w:rPr>
        <w:t>.</w:t>
      </w:r>
      <w:r w:rsidRPr="003B25F7">
        <w:rPr>
          <w:lang w:val="en-CA"/>
        </w:rPr>
        <w:t xml:space="preserve"> </w:t>
      </w:r>
      <w:r>
        <w:rPr>
          <w:lang w:val="en-CA"/>
        </w:rPr>
        <w:t xml:space="preserve"> </w:t>
      </w:r>
      <w:r w:rsidRPr="003B25F7">
        <w:rPr>
          <w:lang w:val="en-CA"/>
        </w:rPr>
        <w:t xml:space="preserve">The grading scheme will </w:t>
      </w:r>
      <w:r w:rsidRPr="00786027">
        <w:rPr>
          <w:b/>
          <w:bCs/>
          <w:lang w:val="en-CA"/>
        </w:rPr>
        <w:t>not</w:t>
      </w:r>
      <w:r w:rsidRPr="003B25F7">
        <w:rPr>
          <w:lang w:val="en-CA"/>
        </w:rPr>
        <w:t xml:space="preserve"> change. </w:t>
      </w:r>
      <w:r>
        <w:rPr>
          <w:lang w:val="en-CA"/>
        </w:rPr>
        <w:t xml:space="preserve"> </w:t>
      </w:r>
      <w:r w:rsidRPr="003B25F7">
        <w:rPr>
          <w:lang w:val="en-CA"/>
        </w:rPr>
        <w:t>Any remaining assessments will also be conducted online as determined by the course instructor.</w:t>
      </w:r>
    </w:p>
    <w:p w14:paraId="712B5F79" w14:textId="27FAA097" w:rsidR="00A57A19" w:rsidRDefault="00A57A19" w:rsidP="00610064">
      <w:pPr>
        <w:rPr>
          <w:lang w:val="en-CA"/>
        </w:rPr>
      </w:pPr>
    </w:p>
    <w:p w14:paraId="54EF8F9B" w14:textId="0B6DE711" w:rsidR="00A57A19" w:rsidRPr="00610064" w:rsidRDefault="00A57A19" w:rsidP="00610064">
      <w:pPr>
        <w:rPr>
          <w:lang w:val="en-CA"/>
        </w:rPr>
      </w:pPr>
      <w:r>
        <w:rPr>
          <w:lang w:val="en-CA"/>
        </w:rPr>
        <w:t>Please note a recording of the lecture will be made available in OWL for students who cannot attend the in-person lectures.</w:t>
      </w:r>
    </w:p>
    <w:p w14:paraId="782F6DE1" w14:textId="77777777" w:rsidR="00B451DA" w:rsidRDefault="00B451DA" w:rsidP="00845B86">
      <w:pPr>
        <w:rPr>
          <w:bCs/>
        </w:rPr>
      </w:pPr>
    </w:p>
    <w:p w14:paraId="1B2C0034" w14:textId="02108CFB" w:rsidR="00B451DA" w:rsidRDefault="00B451DA" w:rsidP="00845B86">
      <w:pPr>
        <w:rPr>
          <w:bCs/>
        </w:rPr>
      </w:pPr>
      <w:r w:rsidRPr="007169B1">
        <w:rPr>
          <w:b/>
          <w:bCs/>
          <w:sz w:val="36"/>
          <w:szCs w:val="36"/>
        </w:rPr>
        <w:t>4. Course Materials</w:t>
      </w:r>
    </w:p>
    <w:p w14:paraId="79B7AA7E" w14:textId="6A72AE05" w:rsidR="009F463E" w:rsidRDefault="009F463E" w:rsidP="00845B86">
      <w:pPr>
        <w:rPr>
          <w:bCs/>
          <w:color w:val="0432FF"/>
        </w:rPr>
      </w:pPr>
    </w:p>
    <w:p w14:paraId="1F787CEF" w14:textId="06E49D29" w:rsidR="00F676EE" w:rsidRPr="00F676EE" w:rsidRDefault="00F676EE" w:rsidP="00F676EE">
      <w:pPr>
        <w:rPr>
          <w:rFonts w:cstheme="minorHAnsi"/>
          <w:bCs/>
        </w:rPr>
      </w:pPr>
      <w:r w:rsidRPr="00F676EE">
        <w:rPr>
          <w:rFonts w:cstheme="minorHAnsi"/>
          <w:bCs/>
        </w:rPr>
        <w:t xml:space="preserve">There is no assigned textbook for the course. The course incorporates multiple sources, publications, and books </w:t>
      </w:r>
      <w:r w:rsidR="00BA4A91">
        <w:rPr>
          <w:rFonts w:cstheme="minorHAnsi"/>
          <w:bCs/>
        </w:rPr>
        <w:t>that</w:t>
      </w:r>
      <w:r w:rsidRPr="00F676EE">
        <w:rPr>
          <w:rFonts w:cstheme="minorHAnsi"/>
          <w:bCs/>
        </w:rPr>
        <w:t xml:space="preserve"> can be used as reference:</w:t>
      </w:r>
    </w:p>
    <w:p w14:paraId="6C5D9385" w14:textId="77777777" w:rsidR="00F676EE" w:rsidRPr="00F676EE" w:rsidRDefault="00F676EE" w:rsidP="00F676EE">
      <w:pPr>
        <w:rPr>
          <w:rFonts w:cstheme="minorHAnsi"/>
          <w:bCs/>
        </w:rPr>
      </w:pPr>
    </w:p>
    <w:p w14:paraId="5CF14615" w14:textId="77777777" w:rsidR="00F676EE" w:rsidRPr="00F676EE" w:rsidRDefault="00F676EE" w:rsidP="00F676EE">
      <w:pPr>
        <w:rPr>
          <w:rFonts w:cstheme="minorHAnsi"/>
          <w:bCs/>
        </w:rPr>
      </w:pPr>
      <w:r w:rsidRPr="00F676EE">
        <w:rPr>
          <w:rFonts w:cstheme="minorHAnsi"/>
          <w:bCs/>
        </w:rPr>
        <w:t>Books:</w:t>
      </w:r>
    </w:p>
    <w:p w14:paraId="2F1A7BB5" w14:textId="77777777" w:rsidR="00F676EE" w:rsidRPr="00F676EE" w:rsidRDefault="00F676EE" w:rsidP="00F676EE">
      <w:pPr>
        <w:rPr>
          <w:rFonts w:cstheme="minorHAnsi"/>
          <w:bCs/>
        </w:rPr>
      </w:pPr>
      <w:r w:rsidRPr="00F676EE">
        <w:rPr>
          <w:rFonts w:cstheme="minorHAnsi"/>
          <w:bCs/>
        </w:rPr>
        <w:tab/>
      </w:r>
    </w:p>
    <w:p w14:paraId="26088DB2" w14:textId="77777777" w:rsidR="00F676EE" w:rsidRPr="00F676EE" w:rsidRDefault="00F676EE" w:rsidP="00F676EE">
      <w:pPr>
        <w:rPr>
          <w:rFonts w:cstheme="minorHAnsi"/>
          <w:b/>
        </w:rPr>
      </w:pPr>
      <w:r w:rsidRPr="00F676EE">
        <w:rPr>
          <w:rFonts w:cstheme="minorHAnsi"/>
          <w:b/>
        </w:rPr>
        <w:t>Core</w:t>
      </w:r>
    </w:p>
    <w:p w14:paraId="3130AF52" w14:textId="77777777" w:rsidR="00F676EE" w:rsidRPr="00F676EE" w:rsidRDefault="00F676EE" w:rsidP="00F676EE">
      <w:pPr>
        <w:jc w:val="both"/>
        <w:rPr>
          <w:rFonts w:cstheme="minorHAnsi"/>
          <w:bCs/>
          <w:color w:val="000000" w:themeColor="text1"/>
          <w:lang w:val="en-CA"/>
        </w:rPr>
      </w:pPr>
      <w:r w:rsidRPr="00F676EE">
        <w:rPr>
          <w:rFonts w:cstheme="minorHAnsi"/>
          <w:bCs/>
          <w:color w:val="000000" w:themeColor="text1"/>
          <w:lang w:val="en-CA"/>
        </w:rPr>
        <w:t>Chollet, F.  (2021) Deep Learning with Python, second edition. Manning Publications (last five weeks)</w:t>
      </w:r>
    </w:p>
    <w:p w14:paraId="33C2A578" w14:textId="77777777" w:rsidR="00F676EE" w:rsidRPr="00F676EE" w:rsidRDefault="00F676EE" w:rsidP="00F676EE">
      <w:pPr>
        <w:jc w:val="both"/>
        <w:rPr>
          <w:rFonts w:cstheme="minorHAnsi"/>
          <w:bCs/>
          <w:color w:val="000000" w:themeColor="text1"/>
          <w:lang w:val="en-CA"/>
        </w:rPr>
      </w:pPr>
    </w:p>
    <w:p w14:paraId="4D52CDC6" w14:textId="20BEB7B9" w:rsidR="00F676EE" w:rsidRPr="00F676EE" w:rsidRDefault="00F676EE" w:rsidP="00F676EE">
      <w:pPr>
        <w:jc w:val="both"/>
        <w:rPr>
          <w:rFonts w:cstheme="minorHAnsi"/>
          <w:bCs/>
          <w:color w:val="000000" w:themeColor="text1"/>
          <w:lang w:val="en-CA"/>
        </w:rPr>
      </w:pPr>
      <w:r w:rsidRPr="00F676EE">
        <w:rPr>
          <w:rFonts w:cstheme="minorHAnsi"/>
          <w:bCs/>
          <w:color w:val="000000" w:themeColor="text1"/>
          <w:lang w:val="en-CA"/>
        </w:rPr>
        <w:lastRenderedPageBreak/>
        <w:t>Davison, M. (2017) Quantitative Finance: A Simulation</w:t>
      </w:r>
      <w:r w:rsidR="00BA4A91">
        <w:rPr>
          <w:rFonts w:cstheme="minorHAnsi"/>
          <w:bCs/>
          <w:color w:val="000000" w:themeColor="text1"/>
          <w:lang w:val="en-CA"/>
        </w:rPr>
        <w:t>-</w:t>
      </w:r>
      <w:r w:rsidRPr="00F676EE">
        <w:rPr>
          <w:rFonts w:cstheme="minorHAnsi"/>
          <w:bCs/>
          <w:color w:val="000000" w:themeColor="text1"/>
          <w:lang w:val="en-CA"/>
        </w:rPr>
        <w:t>Based Introduction using Excel. CRC Press 2014 (weeks 1-3)</w:t>
      </w:r>
    </w:p>
    <w:p w14:paraId="7CAD1552" w14:textId="77777777" w:rsidR="00F676EE" w:rsidRPr="00F676EE" w:rsidRDefault="00F676EE" w:rsidP="00F676EE">
      <w:pPr>
        <w:jc w:val="both"/>
        <w:rPr>
          <w:rFonts w:cstheme="minorHAnsi"/>
          <w:bCs/>
          <w:color w:val="000000" w:themeColor="text1"/>
          <w:lang w:val="en-CA"/>
        </w:rPr>
      </w:pPr>
    </w:p>
    <w:p w14:paraId="1717D650" w14:textId="77777777" w:rsidR="00F676EE" w:rsidRPr="00F676EE" w:rsidRDefault="00F676EE" w:rsidP="00F676EE">
      <w:pPr>
        <w:jc w:val="both"/>
        <w:rPr>
          <w:rFonts w:cstheme="minorHAnsi"/>
          <w:bCs/>
          <w:color w:val="000000" w:themeColor="text1"/>
          <w:lang w:val="en-CA"/>
        </w:rPr>
      </w:pPr>
      <w:r w:rsidRPr="00F676EE">
        <w:rPr>
          <w:rFonts w:cstheme="minorHAnsi"/>
          <w:bCs/>
          <w:color w:val="000000" w:themeColor="text1"/>
          <w:lang w:val="en-CA"/>
        </w:rPr>
        <w:t>Siddiqi, N. (2017) Intelligent Credit Scoring: Building and Implementing Better Credit Risk Scorecards, Second Edition. Wiley. (Week 5-6)</w:t>
      </w:r>
    </w:p>
    <w:p w14:paraId="088587B8" w14:textId="77777777" w:rsidR="00F676EE" w:rsidRPr="00F676EE" w:rsidRDefault="00F676EE" w:rsidP="00F676EE">
      <w:pPr>
        <w:rPr>
          <w:rFonts w:cstheme="minorHAnsi"/>
          <w:bCs/>
        </w:rPr>
      </w:pPr>
    </w:p>
    <w:p w14:paraId="05B44A5B" w14:textId="3171ACD2" w:rsidR="00F676EE" w:rsidRPr="00F676EE" w:rsidRDefault="00F676EE" w:rsidP="00F676EE">
      <w:pPr>
        <w:rPr>
          <w:rFonts w:cstheme="minorHAnsi"/>
          <w:bCs/>
          <w:color w:val="000000" w:themeColor="text1"/>
          <w:lang w:val="en-CA"/>
        </w:rPr>
      </w:pPr>
      <w:r w:rsidRPr="00F676EE">
        <w:rPr>
          <w:rFonts w:cstheme="minorHAnsi"/>
          <w:bCs/>
          <w:color w:val="000000" w:themeColor="text1"/>
          <w:lang w:val="en-CA"/>
        </w:rPr>
        <w:t>Hastie, T., Tibshirani, R. and Friedman, J.  (2013) The Elements of Statistical Learning,10th ed. NI, USA: Springer. Available freely online at https://statweb.stanford.edu/~tibs/ElemStatLearn/. Only some chapters are relevant to the course. They will be posted on OWL in each week’s description. (Weeks 4 – 9)</w:t>
      </w:r>
    </w:p>
    <w:p w14:paraId="7095347C" w14:textId="77777777" w:rsidR="00F676EE" w:rsidRPr="00F676EE" w:rsidRDefault="00F676EE" w:rsidP="00F676EE">
      <w:pPr>
        <w:rPr>
          <w:rFonts w:cstheme="minorHAnsi"/>
          <w:bCs/>
        </w:rPr>
      </w:pPr>
    </w:p>
    <w:p w14:paraId="270B786D" w14:textId="77777777" w:rsidR="00F676EE" w:rsidRPr="00F676EE" w:rsidRDefault="00F676EE" w:rsidP="00F676EE">
      <w:pPr>
        <w:rPr>
          <w:rFonts w:cstheme="minorHAnsi"/>
          <w:bCs/>
        </w:rPr>
      </w:pPr>
      <w:r w:rsidRPr="00F676EE">
        <w:rPr>
          <w:rFonts w:cstheme="minorHAnsi"/>
          <w:bCs/>
        </w:rPr>
        <w:t>Verbeke, W., Baesens, B. and Bravo, C. (2017) Profit Driven Business Analytics. Wiley and Sons.  Chapter 5 (Week 6 and 8)</w:t>
      </w:r>
    </w:p>
    <w:p w14:paraId="7E17BF57" w14:textId="77777777" w:rsidR="00F676EE" w:rsidRPr="00F676EE" w:rsidRDefault="00F676EE" w:rsidP="00F676EE">
      <w:pPr>
        <w:rPr>
          <w:rFonts w:cstheme="minorHAnsi"/>
          <w:bCs/>
        </w:rPr>
      </w:pPr>
    </w:p>
    <w:p w14:paraId="70147353" w14:textId="77777777" w:rsidR="00F676EE" w:rsidRPr="00F676EE" w:rsidRDefault="00F676EE" w:rsidP="00F676EE">
      <w:pPr>
        <w:rPr>
          <w:rFonts w:cstheme="minorHAnsi"/>
          <w:b/>
        </w:rPr>
      </w:pPr>
      <w:r w:rsidRPr="00F676EE">
        <w:rPr>
          <w:rFonts w:cstheme="minorHAnsi"/>
          <w:b/>
        </w:rPr>
        <w:t>Additional Reading</w:t>
      </w:r>
    </w:p>
    <w:p w14:paraId="5B9927C5" w14:textId="77777777" w:rsidR="00F676EE" w:rsidRPr="00F676EE" w:rsidRDefault="00F676EE" w:rsidP="00F676EE">
      <w:pPr>
        <w:jc w:val="both"/>
        <w:rPr>
          <w:rFonts w:cstheme="minorHAnsi"/>
          <w:bCs/>
          <w:color w:val="000000" w:themeColor="text1"/>
          <w:lang w:val="en-CA"/>
        </w:rPr>
      </w:pPr>
      <w:r w:rsidRPr="00F676EE">
        <w:rPr>
          <w:rFonts w:cstheme="minorHAnsi"/>
          <w:bCs/>
          <w:color w:val="000000" w:themeColor="text1"/>
          <w:lang w:val="en-CA"/>
        </w:rPr>
        <w:t>Goodfellow, I., Bengio, Y. and Courville, A.  (2017) Deep Learning.   Freely available online at http://www.deeplearningbook.org/: MIT Press.</w:t>
      </w:r>
    </w:p>
    <w:p w14:paraId="1D978AB5" w14:textId="77777777" w:rsidR="00F676EE" w:rsidRPr="00F676EE" w:rsidRDefault="00F676EE" w:rsidP="00F676EE">
      <w:pPr>
        <w:jc w:val="both"/>
        <w:rPr>
          <w:rFonts w:cstheme="minorHAnsi"/>
          <w:bCs/>
          <w:color w:val="000000" w:themeColor="text1"/>
          <w:lang w:val="en-CA"/>
        </w:rPr>
      </w:pPr>
      <w:r w:rsidRPr="00F676EE">
        <w:rPr>
          <w:rFonts w:cstheme="minorHAnsi"/>
          <w:bCs/>
          <w:color w:val="000000" w:themeColor="text1"/>
          <w:lang w:val="en-CA"/>
        </w:rPr>
        <w:tab/>
      </w:r>
      <w:r w:rsidRPr="00F676EE">
        <w:rPr>
          <w:rFonts w:cstheme="minorHAnsi"/>
          <w:bCs/>
          <w:color w:val="000000" w:themeColor="text1"/>
          <w:lang w:val="en-CA"/>
        </w:rPr>
        <w:tab/>
      </w:r>
    </w:p>
    <w:p w14:paraId="59B108EF" w14:textId="77777777" w:rsidR="00F676EE" w:rsidRPr="00F676EE" w:rsidRDefault="00F676EE" w:rsidP="00F676EE">
      <w:pPr>
        <w:jc w:val="both"/>
        <w:rPr>
          <w:rFonts w:cstheme="minorHAnsi"/>
          <w:bCs/>
          <w:color w:val="000000" w:themeColor="text1"/>
          <w:lang w:val="en-CA"/>
        </w:rPr>
      </w:pPr>
      <w:r w:rsidRPr="00F676EE">
        <w:rPr>
          <w:rFonts w:cstheme="minorHAnsi"/>
          <w:bCs/>
          <w:color w:val="000000" w:themeColor="text1"/>
          <w:lang w:val="en-CA"/>
        </w:rPr>
        <w:t>Thomas, L.C., Crook J.N. and Edelman.  (2017) Credit Scoring and Its Applications, 2nd Edition.   Philadelphia, PA, USA: SIAM Press.</w:t>
      </w:r>
      <w:r w:rsidRPr="00F676EE">
        <w:rPr>
          <w:rFonts w:cstheme="minorHAnsi"/>
          <w:bCs/>
          <w:color w:val="000000" w:themeColor="text1"/>
          <w:lang w:val="en-CA"/>
        </w:rPr>
        <w:tab/>
      </w:r>
    </w:p>
    <w:p w14:paraId="77B0A817" w14:textId="77777777" w:rsidR="00F676EE" w:rsidRPr="00F676EE" w:rsidRDefault="00F676EE" w:rsidP="00F676EE">
      <w:pPr>
        <w:spacing w:before="60" w:after="60"/>
        <w:ind w:right="28"/>
        <w:jc w:val="both"/>
        <w:rPr>
          <w:rFonts w:eastAsia="Times New Roman" w:cstheme="minorHAnsi"/>
        </w:rPr>
      </w:pPr>
    </w:p>
    <w:p w14:paraId="70EAAA6E" w14:textId="508C4CF8" w:rsidR="00BE5913" w:rsidRPr="00845B86" w:rsidRDefault="00BE5913" w:rsidP="00BE5913">
      <w:pPr>
        <w:rPr>
          <w:bCs/>
          <w:color w:val="000000" w:themeColor="text1"/>
          <w:lang w:val="en-CA"/>
        </w:rPr>
      </w:pPr>
      <w:r w:rsidRPr="00845B86">
        <w:rPr>
          <w:bCs/>
          <w:color w:val="000000" w:themeColor="text1"/>
          <w:lang w:val="en-CA"/>
        </w:rPr>
        <w:t xml:space="preserve">Students </w:t>
      </w:r>
      <w:r>
        <w:rPr>
          <w:bCs/>
          <w:color w:val="000000" w:themeColor="text1"/>
          <w:lang w:val="en-CA"/>
        </w:rPr>
        <w:t>are responsible for</w:t>
      </w:r>
      <w:r w:rsidRPr="00845B86">
        <w:rPr>
          <w:bCs/>
          <w:color w:val="000000" w:themeColor="text1"/>
          <w:lang w:val="en-CA"/>
        </w:rPr>
        <w:t xml:space="preserve"> check</w:t>
      </w:r>
      <w:r>
        <w:rPr>
          <w:bCs/>
          <w:color w:val="000000" w:themeColor="text1"/>
          <w:lang w:val="en-CA"/>
        </w:rPr>
        <w:t>ing the course</w:t>
      </w:r>
      <w:r w:rsidRPr="00845B86">
        <w:rPr>
          <w:bCs/>
          <w:color w:val="000000" w:themeColor="text1"/>
          <w:lang w:val="en-CA"/>
        </w:rPr>
        <w:t xml:space="preserve"> OWL</w:t>
      </w:r>
      <w:r>
        <w:rPr>
          <w:bCs/>
          <w:color w:val="000000" w:themeColor="text1"/>
          <w:lang w:val="en-CA"/>
        </w:rPr>
        <w:t xml:space="preserve"> site</w:t>
      </w:r>
      <w:r w:rsidRPr="00845B86">
        <w:rPr>
          <w:bCs/>
          <w:color w:val="000000" w:themeColor="text1"/>
          <w:lang w:val="en-CA"/>
        </w:rPr>
        <w:t xml:space="preserve"> (</w:t>
      </w:r>
      <w:r w:rsidRPr="00FB2A3C">
        <w:rPr>
          <w:bCs/>
          <w:color w:val="0000FF"/>
          <w:lang w:val="en-CA"/>
        </w:rPr>
        <w:t>http://owl.uwo.ca</w:t>
      </w:r>
      <w:r w:rsidRPr="00845B86">
        <w:rPr>
          <w:bCs/>
          <w:color w:val="000000" w:themeColor="text1"/>
          <w:lang w:val="en-CA"/>
        </w:rPr>
        <w:t xml:space="preserve">) </w:t>
      </w:r>
      <w:r w:rsidR="00BA4A91">
        <w:rPr>
          <w:bCs/>
          <w:color w:val="000000" w:themeColor="text1"/>
          <w:lang w:val="en-CA"/>
        </w:rPr>
        <w:t>regularly</w:t>
      </w:r>
      <w:r w:rsidRPr="00845B86">
        <w:rPr>
          <w:bCs/>
          <w:color w:val="000000" w:themeColor="text1"/>
          <w:lang w:val="en-CA"/>
        </w:rPr>
        <w:t xml:space="preserve"> for news and updates.</w:t>
      </w:r>
      <w:r>
        <w:rPr>
          <w:bCs/>
          <w:color w:val="000000" w:themeColor="text1"/>
          <w:lang w:val="en-CA"/>
        </w:rPr>
        <w:t xml:space="preserve"> </w:t>
      </w:r>
      <w:r w:rsidRPr="00845B86">
        <w:rPr>
          <w:bCs/>
          <w:color w:val="000000" w:themeColor="text1"/>
          <w:lang w:val="en-CA"/>
        </w:rPr>
        <w:t xml:space="preserve"> </w:t>
      </w:r>
      <w:r w:rsidRPr="00845B86">
        <w:rPr>
          <w:bCs/>
          <w:color w:val="000000" w:themeColor="text1"/>
        </w:rPr>
        <w:t>This is the primary method by which information will be disseminated to all students in the class.</w:t>
      </w:r>
    </w:p>
    <w:p w14:paraId="1D3F8315" w14:textId="77777777" w:rsidR="00F676EE" w:rsidRPr="00F676EE" w:rsidRDefault="00F676EE" w:rsidP="00F676EE">
      <w:pPr>
        <w:rPr>
          <w:rFonts w:cstheme="minorHAnsi"/>
          <w:bCs/>
          <w:color w:val="000000" w:themeColor="text1"/>
          <w:lang w:val="en-CA"/>
        </w:rPr>
      </w:pPr>
    </w:p>
    <w:p w14:paraId="646F0D05" w14:textId="77777777" w:rsidR="00F676EE" w:rsidRPr="00F676EE" w:rsidRDefault="00F676EE" w:rsidP="00F676EE">
      <w:pPr>
        <w:pStyle w:val="ListParagraph"/>
        <w:ind w:left="0"/>
        <w:jc w:val="both"/>
        <w:rPr>
          <w:rFonts w:cstheme="minorHAnsi"/>
        </w:rPr>
      </w:pPr>
    </w:p>
    <w:p w14:paraId="7EBC2705" w14:textId="19F63281" w:rsidR="00F676EE" w:rsidRPr="00F676EE" w:rsidRDefault="00F676EE" w:rsidP="00F676EE">
      <w:pPr>
        <w:pStyle w:val="ListParagraph"/>
        <w:ind w:left="0"/>
        <w:jc w:val="both"/>
        <w:rPr>
          <w:rFonts w:cstheme="minorHAnsi"/>
        </w:rPr>
      </w:pPr>
      <w:r w:rsidRPr="00F676EE">
        <w:rPr>
          <w:rFonts w:cstheme="minorHAnsi"/>
        </w:rPr>
        <w:t xml:space="preserve">If students need assistance, they can seek support on the </w:t>
      </w:r>
      <w:hyperlink r:id="rId10">
        <w:r w:rsidRPr="00F676EE">
          <w:rPr>
            <w:rStyle w:val="InternetLink"/>
            <w:rFonts w:cstheme="minorHAnsi"/>
          </w:rPr>
          <w:t>OWL Help page</w:t>
        </w:r>
      </w:hyperlink>
      <w:r w:rsidRPr="00F676EE">
        <w:rPr>
          <w:rFonts w:cstheme="minorHAnsi"/>
        </w:rPr>
        <w:t xml:space="preserve">. Alternatively, they can contact the </w:t>
      </w:r>
      <w:hyperlink r:id="rId11">
        <w:r w:rsidRPr="00F676EE">
          <w:rPr>
            <w:rStyle w:val="InternetLink"/>
            <w:rFonts w:cstheme="minorHAnsi"/>
          </w:rPr>
          <w:t>Western Technology Services Helpdesk</w:t>
        </w:r>
      </w:hyperlink>
      <w:r w:rsidRPr="00F676EE">
        <w:rPr>
          <w:rFonts w:cstheme="minorHAnsi"/>
        </w:rPr>
        <w:t>. They can be contacted by phone at 519-661-3800 or ext. 83800.</w:t>
      </w:r>
    </w:p>
    <w:p w14:paraId="5C41F26B" w14:textId="77777777" w:rsidR="008C038D" w:rsidRPr="008C038D" w:rsidRDefault="008C038D" w:rsidP="008C038D">
      <w:pPr>
        <w:rPr>
          <w:bCs/>
          <w:color w:val="000000" w:themeColor="text1"/>
        </w:rPr>
      </w:pPr>
    </w:p>
    <w:p w14:paraId="3A5A1865" w14:textId="1851E1F5" w:rsidR="008C038D" w:rsidRDefault="008C038D" w:rsidP="008C038D">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they can seek support on the OWL Help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18562E13" w14:textId="0F50AAD9" w:rsidR="00BE5913" w:rsidRDefault="00BE5913" w:rsidP="008C038D">
      <w:pPr>
        <w:rPr>
          <w:bCs/>
          <w:color w:val="000000" w:themeColor="text1"/>
        </w:rPr>
      </w:pPr>
    </w:p>
    <w:p w14:paraId="1DDDD5A5" w14:textId="4FC61A5A" w:rsidR="00BE5913" w:rsidRDefault="00000000" w:rsidP="00BE5913">
      <w:pPr>
        <w:pStyle w:val="ListParagraph"/>
        <w:ind w:left="0"/>
        <w:jc w:val="both"/>
        <w:rPr>
          <w:rStyle w:val="InternetLink"/>
          <w:rFonts w:cstheme="minorHAnsi"/>
        </w:rPr>
      </w:pPr>
      <w:hyperlink r:id="rId12">
        <w:r w:rsidR="00BE5913" w:rsidRPr="00F676EE">
          <w:rPr>
            <w:rStyle w:val="InternetLink"/>
            <w:rFonts w:cstheme="minorHAnsi"/>
          </w:rPr>
          <w:t>Google Chrome</w:t>
        </w:r>
      </w:hyperlink>
      <w:r w:rsidR="00BE5913" w:rsidRPr="00F676EE">
        <w:rPr>
          <w:rStyle w:val="course-name1"/>
          <w:rFonts w:asciiTheme="minorHAnsi" w:hAnsiTheme="minorHAnsi" w:cstheme="minorHAnsi"/>
          <w:sz w:val="24"/>
          <w:szCs w:val="24"/>
        </w:rPr>
        <w:t xml:space="preserve"> or </w:t>
      </w:r>
      <w:hyperlink r:id="rId13">
        <w:r w:rsidR="00BE5913" w:rsidRPr="00F676EE">
          <w:rPr>
            <w:rStyle w:val="InternetLink"/>
            <w:rFonts w:cstheme="minorHAnsi"/>
          </w:rPr>
          <w:t>Mozilla Firefox</w:t>
        </w:r>
      </w:hyperlink>
      <w:r w:rsidR="00BE5913" w:rsidRPr="00F676EE">
        <w:rPr>
          <w:rStyle w:val="course-name1"/>
          <w:rFonts w:asciiTheme="minorHAnsi" w:hAnsiTheme="minorHAnsi" w:cstheme="minorHAnsi"/>
          <w:sz w:val="24"/>
          <w:szCs w:val="24"/>
        </w:rPr>
        <w:t xml:space="preserve"> are the preferred browsers to optimally use OWL; update your browsers frequently. Students interested in evaluating their internet speed, please click </w:t>
      </w:r>
      <w:hyperlink r:id="rId14">
        <w:r w:rsidR="00BE5913" w:rsidRPr="00F676EE">
          <w:rPr>
            <w:rStyle w:val="InternetLink"/>
            <w:rFonts w:cstheme="minorHAnsi"/>
          </w:rPr>
          <w:t>here.</w:t>
        </w:r>
      </w:hyperlink>
    </w:p>
    <w:p w14:paraId="21E0B049" w14:textId="77777777" w:rsidR="00A57A19" w:rsidRPr="00F676EE" w:rsidRDefault="00A57A19" w:rsidP="00BE5913">
      <w:pPr>
        <w:pStyle w:val="ListParagraph"/>
        <w:ind w:left="0"/>
        <w:jc w:val="both"/>
        <w:rPr>
          <w:rFonts w:cstheme="minorHAnsi"/>
        </w:rPr>
      </w:pPr>
    </w:p>
    <w:p w14:paraId="4EE02DA4" w14:textId="77777777" w:rsidR="009F463E" w:rsidRDefault="009F463E" w:rsidP="009F463E">
      <w:pPr>
        <w:rPr>
          <w:bCs/>
        </w:rPr>
      </w:pPr>
    </w:p>
    <w:p w14:paraId="0943C7C5" w14:textId="77777777" w:rsidR="009F463E" w:rsidRPr="00D37DB0" w:rsidRDefault="009F463E" w:rsidP="009F463E">
      <w:pPr>
        <w:rPr>
          <w:b/>
          <w:bCs/>
          <w:color w:val="000000" w:themeColor="text1"/>
        </w:rPr>
      </w:pPr>
      <w:r>
        <w:rPr>
          <w:b/>
          <w:bCs/>
          <w:color w:val="000000" w:themeColor="text1"/>
        </w:rPr>
        <w:t>T</w:t>
      </w:r>
      <w:r w:rsidRPr="00D37DB0">
        <w:rPr>
          <w:b/>
          <w:bCs/>
          <w:color w:val="000000" w:themeColor="text1"/>
        </w:rPr>
        <w:t xml:space="preserve">echnical </w:t>
      </w:r>
      <w:r>
        <w:rPr>
          <w:b/>
          <w:bCs/>
          <w:color w:val="000000" w:themeColor="text1"/>
        </w:rPr>
        <w:t>R</w:t>
      </w:r>
      <w:r w:rsidRPr="00D37DB0">
        <w:rPr>
          <w:b/>
          <w:bCs/>
          <w:color w:val="000000" w:themeColor="text1"/>
        </w:rPr>
        <w:t>equirements</w:t>
      </w:r>
    </w:p>
    <w:tbl>
      <w:tblPr>
        <w:tblStyle w:val="TableGrid"/>
        <w:tblW w:w="9954" w:type="dxa"/>
        <w:tblLook w:val="04A0" w:firstRow="1" w:lastRow="0" w:firstColumn="1" w:lastColumn="0" w:noHBand="0" w:noVBand="1"/>
      </w:tblPr>
      <w:tblGrid>
        <w:gridCol w:w="1419"/>
        <w:gridCol w:w="3543"/>
        <w:gridCol w:w="1416"/>
        <w:gridCol w:w="3576"/>
      </w:tblGrid>
      <w:tr w:rsidR="001B6DA1" w14:paraId="0E8C38B5" w14:textId="77777777" w:rsidTr="006C4871">
        <w:trPr>
          <w:trHeight w:val="850"/>
        </w:trPr>
        <w:tc>
          <w:tcPr>
            <w:tcW w:w="1418" w:type="dxa"/>
            <w:tcBorders>
              <w:top w:val="nil"/>
              <w:left w:val="nil"/>
              <w:bottom w:val="nil"/>
              <w:right w:val="nil"/>
            </w:tcBorders>
            <w:shd w:val="clear" w:color="auto" w:fill="auto"/>
            <w:vAlign w:val="center"/>
          </w:tcPr>
          <w:p w14:paraId="74A70C2E" w14:textId="77777777" w:rsidR="001B6DA1" w:rsidRDefault="001B6DA1" w:rsidP="006C4871">
            <w:pPr>
              <w:ind w:firstLine="66"/>
              <w:jc w:val="center"/>
              <w:rPr>
                <w:rFonts w:ascii="Arial" w:hAnsi="Arial" w:cs="Arial"/>
                <w:b/>
                <w:sz w:val="22"/>
                <w:szCs w:val="18"/>
              </w:rPr>
            </w:pPr>
            <w:r>
              <w:rPr>
                <w:noProof/>
              </w:rPr>
              <w:drawing>
                <wp:inline distT="0" distB="0" distL="0" distR="0" wp14:anchorId="1A7FDF5E" wp14:editId="36A8DAB6">
                  <wp:extent cx="467995" cy="467995"/>
                  <wp:effectExtent l="0" t="0" r="0" b="0"/>
                  <wp:docPr id="689608994" name="Graphic 4" descr="Wire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inline>
              </w:drawing>
            </w:r>
          </w:p>
        </w:tc>
        <w:tc>
          <w:tcPr>
            <w:tcW w:w="3543" w:type="dxa"/>
            <w:tcBorders>
              <w:top w:val="nil"/>
              <w:left w:val="nil"/>
              <w:bottom w:val="nil"/>
              <w:right w:val="nil"/>
            </w:tcBorders>
            <w:shd w:val="clear" w:color="auto" w:fill="auto"/>
            <w:vAlign w:val="center"/>
          </w:tcPr>
          <w:p w14:paraId="478B49FB" w14:textId="77777777" w:rsidR="001B6DA1" w:rsidRDefault="001B6DA1" w:rsidP="006C4871">
            <w:pPr>
              <w:rPr>
                <w:rFonts w:ascii="Arial" w:hAnsi="Arial" w:cs="Arial"/>
                <w:bCs/>
                <w:sz w:val="22"/>
                <w:szCs w:val="18"/>
              </w:rPr>
            </w:pPr>
            <w:r>
              <w:rPr>
                <w:rFonts w:ascii="Arial" w:hAnsi="Arial" w:cs="Arial"/>
                <w:bCs/>
                <w:sz w:val="22"/>
                <w:szCs w:val="18"/>
              </w:rPr>
              <w:t>Stable internet connection</w:t>
            </w:r>
          </w:p>
        </w:tc>
        <w:tc>
          <w:tcPr>
            <w:tcW w:w="1416" w:type="dxa"/>
            <w:tcBorders>
              <w:top w:val="nil"/>
              <w:left w:val="nil"/>
              <w:bottom w:val="nil"/>
              <w:right w:val="nil"/>
            </w:tcBorders>
            <w:shd w:val="clear" w:color="auto" w:fill="auto"/>
            <w:vAlign w:val="center"/>
          </w:tcPr>
          <w:p w14:paraId="45A1F308" w14:textId="77777777" w:rsidR="001B6DA1" w:rsidRDefault="001B6DA1" w:rsidP="006C4871">
            <w:pPr>
              <w:ind w:firstLine="24"/>
              <w:jc w:val="center"/>
              <w:rPr>
                <w:rFonts w:ascii="Arial" w:hAnsi="Arial" w:cs="Arial"/>
                <w:b/>
                <w:sz w:val="22"/>
                <w:szCs w:val="18"/>
              </w:rPr>
            </w:pPr>
            <w:r>
              <w:rPr>
                <w:noProof/>
              </w:rPr>
              <w:drawing>
                <wp:inline distT="0" distB="0" distL="0" distR="0" wp14:anchorId="06DB4F7D" wp14:editId="268519F2">
                  <wp:extent cx="467995" cy="467995"/>
                  <wp:effectExtent l="0" t="0" r="0" b="0"/>
                  <wp:docPr id="1893479058" name="Graphic 8"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inline>
              </w:drawing>
            </w:r>
          </w:p>
        </w:tc>
        <w:tc>
          <w:tcPr>
            <w:tcW w:w="3576" w:type="dxa"/>
            <w:tcBorders>
              <w:top w:val="nil"/>
              <w:left w:val="nil"/>
              <w:bottom w:val="nil"/>
              <w:right w:val="nil"/>
            </w:tcBorders>
            <w:shd w:val="clear" w:color="auto" w:fill="auto"/>
            <w:vAlign w:val="center"/>
          </w:tcPr>
          <w:p w14:paraId="70F5535E" w14:textId="77777777" w:rsidR="001B6DA1" w:rsidRDefault="001B6DA1" w:rsidP="006C4871">
            <w:pPr>
              <w:ind w:right="139"/>
              <w:rPr>
                <w:rFonts w:ascii="Arial" w:hAnsi="Arial" w:cs="Arial"/>
                <w:sz w:val="22"/>
                <w:szCs w:val="22"/>
              </w:rPr>
            </w:pPr>
            <w:r w:rsidRPr="70ACAD2D">
              <w:rPr>
                <w:rFonts w:ascii="Arial" w:hAnsi="Arial" w:cs="Arial"/>
                <w:sz w:val="22"/>
                <w:szCs w:val="22"/>
              </w:rPr>
              <w:t xml:space="preserve">Laptop or computer </w:t>
            </w:r>
          </w:p>
        </w:tc>
      </w:tr>
      <w:tr w:rsidR="001B6DA1" w14:paraId="5D477C7E" w14:textId="77777777" w:rsidTr="006C4871">
        <w:trPr>
          <w:trHeight w:val="737"/>
        </w:trPr>
        <w:tc>
          <w:tcPr>
            <w:tcW w:w="1418" w:type="dxa"/>
            <w:tcBorders>
              <w:top w:val="nil"/>
              <w:left w:val="nil"/>
              <w:bottom w:val="nil"/>
              <w:right w:val="nil"/>
            </w:tcBorders>
            <w:shd w:val="clear" w:color="auto" w:fill="auto"/>
            <w:vAlign w:val="center"/>
          </w:tcPr>
          <w:p w14:paraId="34683F76" w14:textId="77777777" w:rsidR="001B6DA1" w:rsidRDefault="001B6DA1" w:rsidP="006C4871">
            <w:pPr>
              <w:tabs>
                <w:tab w:val="left" w:pos="1284"/>
              </w:tabs>
              <w:jc w:val="center"/>
              <w:rPr>
                <w:rFonts w:ascii="Arial" w:hAnsi="Arial" w:cs="Arial"/>
                <w:b/>
                <w:sz w:val="22"/>
                <w:szCs w:val="18"/>
              </w:rPr>
            </w:pPr>
            <w:r>
              <w:rPr>
                <w:noProof/>
              </w:rPr>
              <w:drawing>
                <wp:inline distT="0" distB="0" distL="0" distR="0" wp14:anchorId="5B4120D8" wp14:editId="6C95E6B1">
                  <wp:extent cx="431800" cy="431800"/>
                  <wp:effectExtent l="0" t="0" r="0" b="0"/>
                  <wp:docPr id="542768998" name="Graphic 7" descr="Radio 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inline>
              </w:drawing>
            </w:r>
          </w:p>
        </w:tc>
        <w:tc>
          <w:tcPr>
            <w:tcW w:w="3543" w:type="dxa"/>
            <w:tcBorders>
              <w:top w:val="nil"/>
              <w:left w:val="nil"/>
              <w:bottom w:val="nil"/>
              <w:right w:val="nil"/>
            </w:tcBorders>
            <w:shd w:val="clear" w:color="auto" w:fill="auto"/>
            <w:vAlign w:val="center"/>
          </w:tcPr>
          <w:p w14:paraId="1E576531" w14:textId="77777777" w:rsidR="001B6DA1" w:rsidRDefault="001B6DA1" w:rsidP="006C4871">
            <w:pPr>
              <w:rPr>
                <w:rFonts w:ascii="Arial" w:hAnsi="Arial" w:cs="Arial"/>
                <w:bCs/>
                <w:sz w:val="22"/>
                <w:szCs w:val="18"/>
              </w:rPr>
            </w:pPr>
            <w:r>
              <w:rPr>
                <w:rFonts w:ascii="Arial" w:hAnsi="Arial" w:cs="Arial"/>
                <w:bCs/>
                <w:sz w:val="22"/>
                <w:szCs w:val="18"/>
              </w:rPr>
              <w:t xml:space="preserve">Working microphone </w:t>
            </w:r>
          </w:p>
        </w:tc>
        <w:tc>
          <w:tcPr>
            <w:tcW w:w="1416" w:type="dxa"/>
            <w:tcBorders>
              <w:top w:val="nil"/>
              <w:left w:val="nil"/>
              <w:bottom w:val="nil"/>
              <w:right w:val="nil"/>
            </w:tcBorders>
            <w:shd w:val="clear" w:color="auto" w:fill="auto"/>
            <w:vAlign w:val="center"/>
          </w:tcPr>
          <w:p w14:paraId="19D1BBAE" w14:textId="77777777" w:rsidR="001B6DA1" w:rsidRDefault="001B6DA1" w:rsidP="006C4871">
            <w:pPr>
              <w:jc w:val="center"/>
              <w:rPr>
                <w:rFonts w:ascii="Arial" w:hAnsi="Arial" w:cs="Arial"/>
                <w:b/>
                <w:sz w:val="22"/>
                <w:szCs w:val="18"/>
              </w:rPr>
            </w:pPr>
            <w:r>
              <w:rPr>
                <w:noProof/>
              </w:rPr>
              <w:drawing>
                <wp:inline distT="0" distB="0" distL="0" distR="0" wp14:anchorId="4DC0078A" wp14:editId="5AEE210F">
                  <wp:extent cx="467995" cy="467995"/>
                  <wp:effectExtent l="0" t="0" r="0" b="0"/>
                  <wp:docPr id="1164176699" name="Graphic 6" descr="Web 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inline>
              </w:drawing>
            </w:r>
          </w:p>
        </w:tc>
        <w:tc>
          <w:tcPr>
            <w:tcW w:w="3576" w:type="dxa"/>
            <w:tcBorders>
              <w:top w:val="nil"/>
              <w:left w:val="nil"/>
              <w:bottom w:val="nil"/>
              <w:right w:val="nil"/>
            </w:tcBorders>
            <w:shd w:val="clear" w:color="auto" w:fill="auto"/>
            <w:vAlign w:val="center"/>
          </w:tcPr>
          <w:p w14:paraId="1E19C280" w14:textId="77777777" w:rsidR="001B6DA1" w:rsidRDefault="001B6DA1" w:rsidP="006C4871">
            <w:pPr>
              <w:rPr>
                <w:rFonts w:ascii="Arial" w:hAnsi="Arial" w:cs="Arial"/>
                <w:bCs/>
                <w:sz w:val="22"/>
                <w:szCs w:val="18"/>
              </w:rPr>
            </w:pPr>
            <w:r>
              <w:rPr>
                <w:rFonts w:ascii="Arial" w:hAnsi="Arial" w:cs="Arial"/>
                <w:bCs/>
                <w:sz w:val="22"/>
                <w:szCs w:val="18"/>
              </w:rPr>
              <w:t>Working webcam</w:t>
            </w:r>
          </w:p>
        </w:tc>
      </w:tr>
    </w:tbl>
    <w:p w14:paraId="4D59D0B1" w14:textId="56EC08A8" w:rsidR="00B451DA" w:rsidRDefault="00B451DA" w:rsidP="00681697">
      <w:pPr>
        <w:rPr>
          <w:bCs/>
          <w:color w:val="0432FF"/>
        </w:rPr>
      </w:pPr>
    </w:p>
    <w:p w14:paraId="3815044D" w14:textId="1D4F3360" w:rsidR="001B6DA1" w:rsidRPr="001B6DA1" w:rsidRDefault="001B6DA1" w:rsidP="00681697">
      <w:pPr>
        <w:rPr>
          <w:bCs/>
          <w:color w:val="000000" w:themeColor="text1"/>
        </w:rPr>
      </w:pPr>
      <w:r w:rsidRPr="001B6DA1">
        <w:rPr>
          <w:bCs/>
          <w:color w:val="000000" w:themeColor="text1"/>
        </w:rPr>
        <w:lastRenderedPageBreak/>
        <w:t>We will use either Google Colab</w:t>
      </w:r>
      <w:r>
        <w:rPr>
          <w:bCs/>
          <w:color w:val="000000" w:themeColor="text1"/>
        </w:rPr>
        <w:t xml:space="preserve"> (</w:t>
      </w:r>
      <w:hyperlink r:id="rId19" w:history="1">
        <w:r w:rsidR="00E214B3" w:rsidRPr="00EB5DC9">
          <w:rPr>
            <w:rStyle w:val="Hyperlink"/>
            <w:bCs/>
          </w:rPr>
          <w:t>https://colab.research.google.com</w:t>
        </w:r>
      </w:hyperlink>
      <w:r w:rsidR="00E214B3">
        <w:rPr>
          <w:bCs/>
          <w:color w:val="000000" w:themeColor="text1"/>
        </w:rPr>
        <w:t>)</w:t>
      </w:r>
      <w:r w:rsidRPr="001B6DA1">
        <w:rPr>
          <w:bCs/>
          <w:color w:val="000000" w:themeColor="text1"/>
        </w:rPr>
        <w:t xml:space="preserve"> or Kaggle Kernels </w:t>
      </w:r>
      <w:r w:rsidR="00E214B3">
        <w:rPr>
          <w:bCs/>
          <w:color w:val="000000" w:themeColor="text1"/>
        </w:rPr>
        <w:t>(</w:t>
      </w:r>
      <w:hyperlink r:id="rId20" w:history="1">
        <w:r w:rsidR="00E214B3" w:rsidRPr="00EB5DC9">
          <w:rPr>
            <w:rStyle w:val="Hyperlink"/>
            <w:bCs/>
          </w:rPr>
          <w:t>https://www.kaggle.com/code</w:t>
        </w:r>
      </w:hyperlink>
      <w:r w:rsidR="00E214B3">
        <w:rPr>
          <w:bCs/>
          <w:color w:val="000000" w:themeColor="text1"/>
        </w:rPr>
        <w:t xml:space="preserve">) </w:t>
      </w:r>
      <w:r w:rsidRPr="001B6DA1">
        <w:rPr>
          <w:bCs/>
          <w:color w:val="000000" w:themeColor="text1"/>
        </w:rPr>
        <w:t xml:space="preserve">for the </w:t>
      </w:r>
      <w:r w:rsidR="00E214B3">
        <w:rPr>
          <w:bCs/>
          <w:color w:val="000000" w:themeColor="text1"/>
        </w:rPr>
        <w:t>computational part of the course</w:t>
      </w:r>
      <w:r w:rsidRPr="001B6DA1">
        <w:rPr>
          <w:bCs/>
          <w:color w:val="000000" w:themeColor="text1"/>
        </w:rPr>
        <w:t>, depending on available access in your location.</w:t>
      </w:r>
      <w:r w:rsidR="00E214B3">
        <w:rPr>
          <w:bCs/>
          <w:color w:val="000000" w:themeColor="text1"/>
        </w:rPr>
        <w:t xml:space="preserve"> Instructions will also be provided for local installations, although </w:t>
      </w:r>
      <w:r w:rsidR="00E214B3" w:rsidRPr="00E214B3">
        <w:rPr>
          <w:b/>
          <w:color w:val="000000" w:themeColor="text1"/>
        </w:rPr>
        <w:t xml:space="preserve">this is not recommended unless students have an </w:t>
      </w:r>
      <w:r w:rsidR="00E214B3">
        <w:rPr>
          <w:b/>
          <w:color w:val="000000" w:themeColor="text1"/>
        </w:rPr>
        <w:t>Nv</w:t>
      </w:r>
      <w:r w:rsidR="00E214B3" w:rsidRPr="00E214B3">
        <w:rPr>
          <w:b/>
          <w:color w:val="000000" w:themeColor="text1"/>
        </w:rPr>
        <w:t>idia video card and at least 8GB of RAM</w:t>
      </w:r>
      <w:r w:rsidR="00E214B3">
        <w:rPr>
          <w:bCs/>
          <w:color w:val="000000" w:themeColor="text1"/>
        </w:rPr>
        <w:t>.</w:t>
      </w:r>
    </w:p>
    <w:p w14:paraId="18AA09B2" w14:textId="77777777" w:rsidR="001B6DA1" w:rsidRDefault="001B6DA1" w:rsidP="00681697">
      <w:pPr>
        <w:rPr>
          <w:bCs/>
          <w:color w:val="0432FF"/>
        </w:rPr>
      </w:pPr>
    </w:p>
    <w:p w14:paraId="0A444BCC" w14:textId="080D08C7"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231AE8E8" w14:textId="1EAE9206" w:rsidR="0018305F" w:rsidRPr="008168CF" w:rsidRDefault="0018305F" w:rsidP="0018305F">
      <w:pPr>
        <w:rPr>
          <w:rFonts w:cstheme="minorHAnsi"/>
        </w:rPr>
      </w:pPr>
      <w:r w:rsidRPr="008168CF">
        <w:rPr>
          <w:rFonts w:cstheme="minorHAnsi"/>
        </w:rPr>
        <w:t xml:space="preserve">The course is mostly applied and will have </w:t>
      </w:r>
      <w:r w:rsidR="003A6638">
        <w:rPr>
          <w:rFonts w:cstheme="minorHAnsi"/>
        </w:rPr>
        <w:t xml:space="preserve">one midterm, one exam and a group </w:t>
      </w:r>
      <w:r w:rsidRPr="008168CF">
        <w:rPr>
          <w:rFonts w:cstheme="minorHAnsi"/>
        </w:rPr>
        <w:t>coursework, distributed via OWL after each topic is covered in the lectures:</w:t>
      </w:r>
    </w:p>
    <w:p w14:paraId="5A65C90C" w14:textId="77777777" w:rsidR="0018305F" w:rsidRPr="008168CF" w:rsidRDefault="0018305F" w:rsidP="0018305F">
      <w:pPr>
        <w:rPr>
          <w:rFonts w:cstheme="minorHAnsi"/>
          <w:bCs/>
        </w:rPr>
      </w:pPr>
    </w:p>
    <w:p w14:paraId="0DDEB71E" w14:textId="02754E27" w:rsidR="0018305F" w:rsidRPr="008168CF" w:rsidRDefault="005315B1" w:rsidP="0018305F">
      <w:pPr>
        <w:pStyle w:val="ListParagraph"/>
        <w:numPr>
          <w:ilvl w:val="0"/>
          <w:numId w:val="10"/>
        </w:numPr>
        <w:rPr>
          <w:rFonts w:cstheme="minorHAnsi"/>
        </w:rPr>
      </w:pPr>
      <w:r>
        <w:rPr>
          <w:rFonts w:cstheme="minorHAnsi"/>
        </w:rPr>
        <w:t>2</w:t>
      </w:r>
      <w:r w:rsidR="00CC5FE3">
        <w:rPr>
          <w:rFonts w:cstheme="minorHAnsi"/>
        </w:rPr>
        <w:t>5</w:t>
      </w:r>
      <w:r w:rsidR="0018305F" w:rsidRPr="008168CF">
        <w:rPr>
          <w:rFonts w:cstheme="minorHAnsi"/>
        </w:rPr>
        <w:t xml:space="preserve">%: Fixed income and introduction to lending </w:t>
      </w:r>
      <w:r w:rsidR="00CC5FE3">
        <w:rPr>
          <w:rFonts w:cstheme="minorHAnsi"/>
        </w:rPr>
        <w:t>midterm</w:t>
      </w:r>
      <w:r w:rsidR="0018305F" w:rsidRPr="008168CF">
        <w:rPr>
          <w:rFonts w:cstheme="minorHAnsi"/>
        </w:rPr>
        <w:t xml:space="preserve">. Pricing bonds, yield curves and mortgages. </w:t>
      </w:r>
      <w:r w:rsidR="005E181F">
        <w:rPr>
          <w:rFonts w:cstheme="minorHAnsi"/>
        </w:rPr>
        <w:t>TBD</w:t>
      </w:r>
    </w:p>
    <w:p w14:paraId="3423A0A3" w14:textId="174BECB7" w:rsidR="0018305F" w:rsidRPr="008168CF" w:rsidRDefault="00CC5FE3" w:rsidP="0018305F">
      <w:pPr>
        <w:pStyle w:val="ListParagraph"/>
        <w:numPr>
          <w:ilvl w:val="0"/>
          <w:numId w:val="10"/>
        </w:numPr>
        <w:rPr>
          <w:rFonts w:cstheme="minorHAnsi"/>
        </w:rPr>
      </w:pPr>
      <w:r>
        <w:rPr>
          <w:rFonts w:cstheme="minorHAnsi"/>
        </w:rPr>
        <w:t>40</w:t>
      </w:r>
      <w:r w:rsidR="0018305F" w:rsidRPr="008168CF">
        <w:rPr>
          <w:rFonts w:cstheme="minorHAnsi"/>
        </w:rPr>
        <w:t xml:space="preserve">%: Retail credit risk </w:t>
      </w:r>
      <w:r>
        <w:rPr>
          <w:rFonts w:cstheme="minorHAnsi"/>
        </w:rPr>
        <w:t>project</w:t>
      </w:r>
      <w:r w:rsidR="00D1716B">
        <w:rPr>
          <w:rFonts w:cstheme="minorHAnsi"/>
        </w:rPr>
        <w:t xml:space="preserve">, </w:t>
      </w:r>
      <w:r w:rsidR="00D1716B" w:rsidRPr="00D1716B">
        <w:rPr>
          <w:rFonts w:cstheme="minorHAnsi"/>
          <w:b/>
          <w:bCs/>
        </w:rPr>
        <w:t xml:space="preserve">groups of </w:t>
      </w:r>
      <w:r w:rsidR="00D1716B">
        <w:rPr>
          <w:rFonts w:cstheme="minorHAnsi"/>
          <w:b/>
          <w:bCs/>
        </w:rPr>
        <w:t xml:space="preserve">two or </w:t>
      </w:r>
      <w:r w:rsidR="00D1716B" w:rsidRPr="00D1716B">
        <w:rPr>
          <w:rFonts w:cstheme="minorHAnsi"/>
          <w:b/>
          <w:bCs/>
        </w:rPr>
        <w:t>three students</w:t>
      </w:r>
      <w:r w:rsidR="0018305F" w:rsidRPr="008168CF">
        <w:rPr>
          <w:rFonts w:cstheme="minorHAnsi"/>
        </w:rPr>
        <w:t>.</w:t>
      </w:r>
      <w:r w:rsidR="005E181F">
        <w:rPr>
          <w:rFonts w:cstheme="minorHAnsi"/>
        </w:rPr>
        <w:t>TBD</w:t>
      </w:r>
    </w:p>
    <w:p w14:paraId="55D66388" w14:textId="5612BCD7" w:rsidR="0018305F" w:rsidRPr="008168CF" w:rsidRDefault="0018305F" w:rsidP="0018305F">
      <w:pPr>
        <w:pStyle w:val="ListParagraph"/>
        <w:numPr>
          <w:ilvl w:val="0"/>
          <w:numId w:val="10"/>
        </w:numPr>
        <w:rPr>
          <w:rFonts w:cstheme="minorHAnsi"/>
        </w:rPr>
      </w:pPr>
      <w:r w:rsidRPr="008168CF">
        <w:rPr>
          <w:rFonts w:cstheme="minorHAnsi"/>
        </w:rPr>
        <w:t xml:space="preserve">35%: </w:t>
      </w:r>
      <w:r w:rsidR="005315B1">
        <w:rPr>
          <w:rFonts w:cstheme="minorHAnsi"/>
        </w:rPr>
        <w:t>Exam</w:t>
      </w:r>
      <w:r w:rsidRPr="008168CF">
        <w:rPr>
          <w:rFonts w:cstheme="minorHAnsi"/>
        </w:rPr>
        <w:t xml:space="preserve">. </w:t>
      </w:r>
      <w:r w:rsidR="005315B1">
        <w:rPr>
          <w:rFonts w:cstheme="minorHAnsi"/>
        </w:rPr>
        <w:t>Date TBD</w:t>
      </w:r>
      <w:r w:rsidRPr="008168CF">
        <w:rPr>
          <w:rFonts w:cstheme="minorHAnsi"/>
        </w:rPr>
        <w:t>.</w:t>
      </w:r>
    </w:p>
    <w:p w14:paraId="588F0277" w14:textId="321D114E" w:rsidR="008168CF" w:rsidRDefault="008168CF" w:rsidP="008168CF">
      <w:pPr>
        <w:rPr>
          <w:rFonts w:cstheme="minorHAnsi"/>
        </w:rPr>
      </w:pPr>
    </w:p>
    <w:p w14:paraId="202DAEC9" w14:textId="599F573F" w:rsidR="00591058" w:rsidRPr="00591058" w:rsidRDefault="00591058" w:rsidP="008168CF">
      <w:pPr>
        <w:rPr>
          <w:rFonts w:cstheme="minorHAnsi"/>
          <w:b/>
          <w:bCs/>
        </w:rPr>
      </w:pPr>
      <w:r w:rsidRPr="00591058">
        <w:rPr>
          <w:rFonts w:cstheme="minorHAnsi"/>
          <w:b/>
          <w:bCs/>
        </w:rPr>
        <w:t xml:space="preserve">Students MUST obtain a weighted average mark above 50% between the midterm and exam to pass the course. </w:t>
      </w:r>
      <w:r w:rsidRPr="00591058">
        <w:rPr>
          <w:rFonts w:cstheme="minorHAnsi"/>
        </w:rPr>
        <w:t>There are NO exceptions to this rule.</w:t>
      </w:r>
    </w:p>
    <w:p w14:paraId="26BA4474" w14:textId="77777777" w:rsidR="00591058" w:rsidRPr="008168CF" w:rsidRDefault="00591058" w:rsidP="008168CF">
      <w:pPr>
        <w:rPr>
          <w:rFonts w:cstheme="minorHAnsi"/>
        </w:rPr>
      </w:pPr>
    </w:p>
    <w:p w14:paraId="0FD65A95" w14:textId="77777777" w:rsidR="008168CF" w:rsidRPr="008168CF" w:rsidRDefault="008168CF" w:rsidP="008168CF">
      <w:pPr>
        <w:rPr>
          <w:rFonts w:cstheme="minorHAnsi"/>
          <w:b/>
          <w:color w:val="000000" w:themeColor="text1"/>
        </w:rPr>
      </w:pPr>
      <w:r w:rsidRPr="008168CF">
        <w:rPr>
          <w:rFonts w:cstheme="minorHAnsi"/>
          <w:b/>
          <w:color w:val="000000" w:themeColor="text1"/>
        </w:rPr>
        <w:t xml:space="preserve">Accommodated Evaluations </w:t>
      </w:r>
    </w:p>
    <w:p w14:paraId="2D5DCC6A" w14:textId="7022EBF1" w:rsidR="008168CF" w:rsidRPr="008168CF" w:rsidRDefault="008168CF" w:rsidP="008168CF">
      <w:pPr>
        <w:pStyle w:val="ListParagraph"/>
        <w:numPr>
          <w:ilvl w:val="0"/>
          <w:numId w:val="7"/>
        </w:numPr>
        <w:ind w:right="-289"/>
        <w:rPr>
          <w:rFonts w:eastAsia="Times New Roman" w:cstheme="minorHAnsi"/>
          <w:b/>
        </w:rPr>
      </w:pPr>
      <w:r w:rsidRPr="008168CF">
        <w:rPr>
          <w:rFonts w:eastAsia="Times New Roman" w:cstheme="minorHAnsi"/>
        </w:rPr>
        <w:t xml:space="preserve">Late assessments </w:t>
      </w:r>
      <w:r w:rsidRPr="008168CF">
        <w:rPr>
          <w:rFonts w:eastAsia="Times New Roman" w:cstheme="minorHAnsi"/>
          <w:u w:val="single"/>
        </w:rPr>
        <w:t>without</w:t>
      </w:r>
      <w:r w:rsidRPr="008168CF">
        <w:rPr>
          <w:rFonts w:eastAsia="Times New Roman" w:cstheme="minorHAnsi"/>
        </w:rPr>
        <w:t xml:space="preserve"> illness self-reports will be subject to a late penalty discount of 10%/day (this means if your coursework gets an 80%, and you submit one day late, your final mark will be 80% - 10% = 70%). The day late starts at 00:00 of the day after the deadline posted above. There are </w:t>
      </w:r>
      <w:r w:rsidRPr="008168CF">
        <w:rPr>
          <w:rFonts w:eastAsia="Times New Roman" w:cstheme="minorHAnsi"/>
          <w:b/>
          <w:bCs/>
        </w:rPr>
        <w:t>NO EXCEPTIONS</w:t>
      </w:r>
      <w:r w:rsidRPr="008168CF">
        <w:rPr>
          <w:rFonts w:eastAsia="Times New Roman" w:cstheme="minorHAnsi"/>
        </w:rPr>
        <w:t xml:space="preserve"> to this policy.</w:t>
      </w:r>
    </w:p>
    <w:p w14:paraId="0277C086" w14:textId="43AB8C75" w:rsidR="008168CF" w:rsidRPr="008168CF" w:rsidRDefault="008168CF" w:rsidP="008168CF">
      <w:pPr>
        <w:pStyle w:val="ListParagraph"/>
        <w:numPr>
          <w:ilvl w:val="0"/>
          <w:numId w:val="7"/>
        </w:numPr>
        <w:ind w:right="-289"/>
        <w:rPr>
          <w:rFonts w:eastAsia="Times New Roman" w:cstheme="minorHAnsi"/>
          <w:b/>
        </w:rPr>
      </w:pPr>
      <w:r w:rsidRPr="008168CF">
        <w:rPr>
          <w:rFonts w:eastAsia="Times New Roman" w:cstheme="minorHAnsi"/>
        </w:rPr>
        <w:t xml:space="preserve">Late assessments </w:t>
      </w:r>
      <w:r w:rsidRPr="008168CF">
        <w:rPr>
          <w:rFonts w:eastAsia="Times New Roman" w:cstheme="minorHAnsi"/>
          <w:u w:val="single"/>
        </w:rPr>
        <w:t>with</w:t>
      </w:r>
      <w:r w:rsidRPr="008168CF">
        <w:rPr>
          <w:rFonts w:eastAsia="Times New Roman" w:cstheme="minorHAnsi"/>
        </w:rPr>
        <w:t xml:space="preserve"> illness self-reports should be submitted within 24 hours of submission of the last illness self-report.</w:t>
      </w:r>
      <w:r w:rsidR="004D01D2">
        <w:rPr>
          <w:rFonts w:eastAsia="Times New Roman" w:cstheme="minorHAnsi"/>
        </w:rPr>
        <w:t xml:space="preserve"> Late assessment with valid medical reports must be submitted at the date </w:t>
      </w:r>
      <w:r w:rsidR="002B233D">
        <w:rPr>
          <w:rFonts w:eastAsia="Times New Roman" w:cstheme="minorHAnsi"/>
        </w:rPr>
        <w:t>agreed upon with the counsellors</w:t>
      </w:r>
      <w:r w:rsidR="004D01D2">
        <w:rPr>
          <w:rFonts w:eastAsia="Times New Roman" w:cstheme="minorHAnsi"/>
        </w:rPr>
        <w:t>.</w:t>
      </w:r>
    </w:p>
    <w:p w14:paraId="47218921" w14:textId="3086BFF1" w:rsidR="008168CF" w:rsidRPr="008168CF" w:rsidRDefault="008168CF" w:rsidP="008168CF">
      <w:pPr>
        <w:pStyle w:val="ListParagraph"/>
        <w:numPr>
          <w:ilvl w:val="0"/>
          <w:numId w:val="7"/>
        </w:numPr>
        <w:ind w:right="-289"/>
        <w:rPr>
          <w:rFonts w:eastAsia="Times New Roman" w:cstheme="minorHAnsi"/>
          <w:b/>
        </w:rPr>
      </w:pPr>
      <w:r w:rsidRPr="008168CF">
        <w:rPr>
          <w:rFonts w:eastAsia="Times New Roman" w:cstheme="minorHAnsi"/>
        </w:rPr>
        <w:t>An assessment cannot be submitted after it has been returned to the class. A</w:t>
      </w:r>
      <w:r w:rsidR="002B233D">
        <w:rPr>
          <w:rFonts w:eastAsia="Times New Roman" w:cstheme="minorHAnsi"/>
        </w:rPr>
        <w:t>n oral</w:t>
      </w:r>
      <w:r w:rsidR="005C12AF">
        <w:rPr>
          <w:rFonts w:eastAsia="Times New Roman" w:cstheme="minorHAnsi"/>
        </w:rPr>
        <w:t>, ope</w:t>
      </w:r>
      <w:r w:rsidR="005C12AF" w:rsidRPr="005C12AF">
        <w:rPr>
          <w:rFonts w:eastAsia="Times New Roman" w:cstheme="minorHAnsi"/>
          <w:lang w:val="en-GB"/>
        </w:rPr>
        <w:t>n</w:t>
      </w:r>
      <w:r w:rsidR="005C12AF">
        <w:rPr>
          <w:rFonts w:eastAsia="Times New Roman" w:cstheme="minorHAnsi"/>
          <w:lang w:val="en-GB"/>
        </w:rPr>
        <w:t xml:space="preserve"> book,</w:t>
      </w:r>
      <w:r w:rsidR="002B233D">
        <w:rPr>
          <w:rFonts w:eastAsia="Times New Roman" w:cstheme="minorHAnsi"/>
        </w:rPr>
        <w:t xml:space="preserve"> exam </w:t>
      </w:r>
      <w:r w:rsidR="00B21F73">
        <w:rPr>
          <w:rFonts w:eastAsia="Times New Roman" w:cstheme="minorHAnsi"/>
        </w:rPr>
        <w:t xml:space="preserve">with computer support </w:t>
      </w:r>
      <w:r w:rsidR="002B233D">
        <w:rPr>
          <w:rFonts w:eastAsia="Times New Roman" w:cstheme="minorHAnsi"/>
        </w:rPr>
        <w:t xml:space="preserve">covering the topics that were missed will be </w:t>
      </w:r>
      <w:r w:rsidR="00B21F73">
        <w:rPr>
          <w:rFonts w:eastAsia="Times New Roman" w:cstheme="minorHAnsi"/>
        </w:rPr>
        <w:t>given instead.</w:t>
      </w:r>
    </w:p>
    <w:p w14:paraId="6C969686" w14:textId="77777777" w:rsidR="008168CF" w:rsidRPr="008168CF" w:rsidRDefault="008168CF" w:rsidP="008168CF">
      <w:pPr>
        <w:pStyle w:val="ListParagraph"/>
        <w:numPr>
          <w:ilvl w:val="0"/>
          <w:numId w:val="7"/>
        </w:numPr>
        <w:ind w:right="-289"/>
        <w:rPr>
          <w:rFonts w:eastAsia="Times New Roman" w:cstheme="minorHAnsi"/>
          <w:b/>
        </w:rPr>
      </w:pPr>
      <w:r w:rsidRPr="008168CF">
        <w:rPr>
          <w:rFonts w:eastAsia="Times New Roman" w:cstheme="minorHAnsi"/>
        </w:rPr>
        <w:t>If a make-up assessment is missed, the student will receive an INC and complete the task the next time the course is offered.</w:t>
      </w:r>
    </w:p>
    <w:p w14:paraId="681973DC" w14:textId="0FCABF8B" w:rsidR="008168CF" w:rsidRPr="008168CF" w:rsidRDefault="008168CF" w:rsidP="008168CF">
      <w:pPr>
        <w:pStyle w:val="ListParagraph"/>
        <w:numPr>
          <w:ilvl w:val="0"/>
          <w:numId w:val="7"/>
        </w:numPr>
        <w:ind w:right="-289"/>
        <w:jc w:val="both"/>
        <w:rPr>
          <w:rFonts w:eastAsia="Times New Roman" w:cstheme="minorHAnsi"/>
          <w:b/>
        </w:rPr>
      </w:pPr>
      <w:r w:rsidRPr="008168CF">
        <w:rPr>
          <w:rFonts w:cstheme="minorHAnsi"/>
          <w:bCs/>
          <w:color w:val="000000" w:themeColor="text1"/>
        </w:rPr>
        <w:t xml:space="preserve">If permission to waive the requirement that students receive </w:t>
      </w:r>
      <w:r w:rsidR="00BA4A91">
        <w:rPr>
          <w:rFonts w:cstheme="minorHAnsi"/>
          <w:bCs/>
          <w:color w:val="000000" w:themeColor="text1"/>
        </w:rPr>
        <w:t xml:space="preserve">an </w:t>
      </w:r>
      <w:r w:rsidRPr="008168CF">
        <w:rPr>
          <w:rFonts w:cstheme="minorHAnsi"/>
          <w:bCs/>
          <w:color w:val="000000" w:themeColor="text1"/>
        </w:rPr>
        <w:t>evaluation on work tota</w:t>
      </w:r>
      <w:r w:rsidR="00BA4A91">
        <w:rPr>
          <w:rFonts w:cstheme="minorHAnsi"/>
          <w:bCs/>
          <w:color w:val="000000" w:themeColor="text1"/>
        </w:rPr>
        <w:t>l</w:t>
      </w:r>
      <w:r w:rsidRPr="008168CF">
        <w:rPr>
          <w:rFonts w:cstheme="minorHAnsi"/>
          <w:bCs/>
          <w:color w:val="000000" w:themeColor="text1"/>
        </w:rPr>
        <w:t>ling 15% of their final grade at least three days prior to the deadline for withdrawal without academic penalty has been obtained from the Dean’s Office, a statement to this effect must be made.</w:t>
      </w:r>
    </w:p>
    <w:p w14:paraId="5A564E36" w14:textId="675D0834" w:rsidR="00326122" w:rsidRPr="00556ECC" w:rsidRDefault="00326122" w:rsidP="00845B86">
      <w:pPr>
        <w:rPr>
          <w:bCs/>
          <w:color w:val="00B050"/>
        </w:rPr>
      </w:pPr>
    </w:p>
    <w:p w14:paraId="6630E791" w14:textId="4DAEE449" w:rsidR="00CF2B11" w:rsidRDefault="00B451DA">
      <w:pPr>
        <w:rPr>
          <w:lang w:val="en-CA"/>
        </w:rPr>
      </w:pPr>
      <w:r w:rsidRPr="007169B1">
        <w:rPr>
          <w:b/>
          <w:bCs/>
          <w:sz w:val="36"/>
          <w:szCs w:val="36"/>
          <w:lang w:val="en-CA"/>
        </w:rPr>
        <w:t xml:space="preserve">6. </w:t>
      </w:r>
      <w:r w:rsidR="00852477">
        <w:rPr>
          <w:b/>
          <w:bCs/>
          <w:sz w:val="36"/>
          <w:szCs w:val="36"/>
          <w:lang w:val="en-CA"/>
        </w:rPr>
        <w:t>Student Absence</w:t>
      </w:r>
      <w:r w:rsidR="00C169FF">
        <w:rPr>
          <w:b/>
          <w:bCs/>
          <w:sz w:val="36"/>
          <w:szCs w:val="36"/>
          <w:lang w:val="en-CA"/>
        </w:rPr>
        <w:t>s</w:t>
      </w:r>
    </w:p>
    <w:p w14:paraId="177DE28A" w14:textId="77777777" w:rsidR="002C1B02" w:rsidRDefault="002C1B02" w:rsidP="002C1B02">
      <w:pPr>
        <w:rPr>
          <w:color w:val="0432FF"/>
        </w:rPr>
      </w:pPr>
    </w:p>
    <w:p w14:paraId="53688BCB" w14:textId="77777777" w:rsidR="002C1B02" w:rsidRDefault="002C1B02" w:rsidP="002C1B02">
      <w:r w:rsidRPr="002D5CA5">
        <w:t xml:space="preserve">If </w:t>
      </w:r>
      <w:r>
        <w:t>you are unable to meet a course requirement due to illness or other serious circumstances, please follow the procedures below.</w:t>
      </w:r>
    </w:p>
    <w:p w14:paraId="05D1637B" w14:textId="77777777" w:rsidR="005E181F" w:rsidRPr="002D5CA5" w:rsidRDefault="005E181F" w:rsidP="002C1B02"/>
    <w:p w14:paraId="25F020A5" w14:textId="77777777" w:rsidR="005E181F" w:rsidRPr="005E181F" w:rsidRDefault="005E181F" w:rsidP="005E181F">
      <w:r w:rsidRPr="005E181F">
        <w:t>1. For medical absences, get a Student Medical Certificate (SMC) signed by a licensed medical or mental health.</w:t>
      </w:r>
    </w:p>
    <w:p w14:paraId="08211C68" w14:textId="77777777" w:rsidR="005E181F" w:rsidRPr="005E181F" w:rsidRDefault="005E181F" w:rsidP="005E181F">
      <w:r w:rsidRPr="005E181F">
        <w:t>2. Get appropriate documentation for non-medical absences.</w:t>
      </w:r>
    </w:p>
    <w:p w14:paraId="794B79AD" w14:textId="77777777" w:rsidR="005E181F" w:rsidRDefault="005E181F" w:rsidP="005E181F">
      <w:r w:rsidRPr="005E181F">
        <w:t>Note that in all cases, students are required to contact their instructors within 24 hours of the end of the period covered to get approved unless otherwise instructed in the course outline.</w:t>
      </w:r>
    </w:p>
    <w:p w14:paraId="19ACA2E7" w14:textId="77777777" w:rsidR="005E181F" w:rsidRPr="005E181F" w:rsidRDefault="005E181F" w:rsidP="005E181F"/>
    <w:p w14:paraId="20D81A41" w14:textId="2B92514F" w:rsidR="00A34407" w:rsidRPr="005E181F" w:rsidRDefault="00A34407">
      <w:pPr>
        <w:rPr>
          <w:lang w:val="en-CA"/>
        </w:rPr>
      </w:pPr>
    </w:p>
    <w:p w14:paraId="3255AFEB" w14:textId="4733BF80" w:rsidR="001B60E6" w:rsidRDefault="001B60E6" w:rsidP="001B60E6">
      <w:r>
        <w:rPr>
          <w:b/>
          <w:bCs/>
          <w:sz w:val="36"/>
          <w:szCs w:val="36"/>
        </w:rPr>
        <w:t>7</w:t>
      </w:r>
      <w:r w:rsidRPr="007169B1">
        <w:rPr>
          <w:b/>
          <w:bCs/>
          <w:sz w:val="36"/>
          <w:szCs w:val="36"/>
        </w:rPr>
        <w:t>. Accommodation and Accessibility</w:t>
      </w:r>
    </w:p>
    <w:p w14:paraId="2746111A" w14:textId="77777777" w:rsidR="00B526D1" w:rsidRDefault="00B526D1">
      <w:pPr>
        <w:rPr>
          <w:lang w:val="en-CA"/>
        </w:rPr>
      </w:pPr>
    </w:p>
    <w:p w14:paraId="6421C12B" w14:textId="77777777" w:rsidR="004338DC" w:rsidRPr="00A34407" w:rsidRDefault="004338DC" w:rsidP="004338DC">
      <w:r w:rsidRPr="00A34407">
        <w:rPr>
          <w:b/>
          <w:bCs/>
        </w:rPr>
        <w:t>Religious Accommodation</w:t>
      </w:r>
    </w:p>
    <w:p w14:paraId="7DFC7904" w14:textId="77777777" w:rsidR="004338DC" w:rsidRPr="00A34407" w:rsidRDefault="004338DC" w:rsidP="004338DC">
      <w:pPr>
        <w:spacing w:after="120"/>
      </w:pPr>
      <w:r>
        <w:t>When a course requirement conflicts with a religious holiday that requires an absence from the University or prohibits certain activities, s</w:t>
      </w:r>
      <w:r w:rsidRPr="00A34407">
        <w:t xml:space="preserve">tudents should </w:t>
      </w:r>
      <w:r>
        <w:t>request accommodation for their absence in writing at least two weeks prior to the holiday to the course instructor and/or the Academic Counselling office of their Faculty of Registration.  Please consult</w:t>
      </w:r>
      <w:r w:rsidRPr="00A34407">
        <w:t xml:space="preserve"> University's list of recognized religious holidays</w:t>
      </w:r>
      <w:r>
        <w:t xml:space="preserve"> (updated annually) at </w:t>
      </w:r>
    </w:p>
    <w:p w14:paraId="59BB8BF5" w14:textId="77777777" w:rsidR="004338DC" w:rsidRPr="00C169FF" w:rsidRDefault="004338DC" w:rsidP="004338DC">
      <w:pPr>
        <w:ind w:left="360"/>
        <w:rPr>
          <w:rFonts w:cs="Arial (Body CS)"/>
          <w:color w:val="0000FF"/>
          <w:sz w:val="22"/>
        </w:rPr>
      </w:pPr>
      <w:r w:rsidRPr="00C169FF">
        <w:rPr>
          <w:rFonts w:cs="Arial (Body CS)"/>
          <w:color w:val="0000FF"/>
          <w:sz w:val="22"/>
        </w:rPr>
        <w:t>https://multiculturalcalendar.com/ecal/index.php?s=c-univwo</w:t>
      </w:r>
      <w:r>
        <w:rPr>
          <w:sz w:val="22"/>
        </w:rPr>
        <w:t>.</w:t>
      </w:r>
      <w:r w:rsidRPr="00A34407">
        <w:rPr>
          <w:color w:val="0432FF"/>
          <w:sz w:val="22"/>
        </w:rPr>
        <w:t xml:space="preserve"> </w:t>
      </w:r>
      <w:r w:rsidRPr="00C169FF">
        <w:rPr>
          <w:rFonts w:cs="Arial (Body CS)"/>
          <w:color w:val="0000FF"/>
          <w:sz w:val="22"/>
        </w:rPr>
        <w:t xml:space="preserve"> </w:t>
      </w:r>
    </w:p>
    <w:p w14:paraId="0AF51970" w14:textId="77777777" w:rsidR="004338DC" w:rsidRPr="003C6E2C" w:rsidRDefault="004338DC" w:rsidP="004338DC"/>
    <w:p w14:paraId="77DD9295" w14:textId="77777777" w:rsidR="004338DC" w:rsidRPr="00E73DBD" w:rsidRDefault="004338DC" w:rsidP="004338DC">
      <w:pPr>
        <w:ind w:right="-20"/>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0A4D677A" w14:textId="77777777" w:rsidR="004338DC" w:rsidRDefault="004338DC" w:rsidP="004338DC">
      <w:pPr>
        <w:spacing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Pr>
          <w:rFonts w:eastAsia="Cambria"/>
          <w:spacing w:val="-1"/>
        </w:rPr>
        <w:t>are encouraged to contact</w:t>
      </w:r>
      <w:r w:rsidRPr="00E73DBD">
        <w:rPr>
          <w:rFonts w:eastAsia="Cambria"/>
          <w:w w:val="102"/>
        </w:rPr>
        <w:t xml:space="preserve"> </w:t>
      </w:r>
      <w:r w:rsidRPr="00E73DBD">
        <w:rPr>
          <w:rFonts w:eastAsia="Cambria"/>
          <w:spacing w:val="2"/>
        </w:rPr>
        <w:t>Accessible Education</w:t>
      </w:r>
      <w:r>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568764D9" w14:textId="77777777" w:rsidR="004338DC" w:rsidRPr="00EA5868" w:rsidRDefault="004338DC" w:rsidP="004338DC">
      <w:pPr>
        <w:ind w:left="360" w:right="-13"/>
        <w:rPr>
          <w:rFonts w:eastAsia="Cambria" w:cs="Arial (Body CS)"/>
          <w:color w:val="0432FF"/>
          <w:sz w:val="22"/>
          <w:szCs w:val="22"/>
        </w:rPr>
      </w:pPr>
      <w:r w:rsidRPr="008D36EC">
        <w:rPr>
          <w:rFonts w:eastAsia="Cambria" w:cs="Arial (Body CS)"/>
          <w:color w:val="0000FF"/>
          <w:sz w:val="22"/>
          <w:szCs w:val="22"/>
        </w:rPr>
        <w:t>https://www.uwo.ca/univsec/pdf/academic_policies/appeals/Academic Accommodation_disabilities.pdf</w:t>
      </w:r>
      <w:r w:rsidRPr="00F735AF">
        <w:rPr>
          <w:rFonts w:eastAsia="Cambria" w:cs="Arial (Body CS)"/>
          <w:color w:val="000000" w:themeColor="text1"/>
          <w:sz w:val="22"/>
          <w:szCs w:val="22"/>
        </w:rPr>
        <w:t>.</w:t>
      </w:r>
      <w:r w:rsidRPr="00EA5868">
        <w:rPr>
          <w:rFonts w:eastAsia="Cambria" w:cs="Arial (Body CS)"/>
          <w:color w:val="0432FF"/>
          <w:sz w:val="22"/>
          <w:szCs w:val="22"/>
        </w:rPr>
        <w:t xml:space="preserve"> </w:t>
      </w:r>
    </w:p>
    <w:p w14:paraId="2334B525" w14:textId="77777777" w:rsidR="004338DC" w:rsidRDefault="004338DC" w:rsidP="004338DC">
      <w:pPr>
        <w:rPr>
          <w:b/>
        </w:rPr>
      </w:pPr>
    </w:p>
    <w:p w14:paraId="6231F94C" w14:textId="0CD8B287" w:rsidR="00852477" w:rsidRPr="00442EDB" w:rsidRDefault="00852477" w:rsidP="003C6E2C">
      <w:pPr>
        <w:rPr>
          <w:b/>
          <w:color w:val="5B9BD5" w:themeColor="accent5"/>
          <w:lang w:val="en-CA"/>
        </w:rPr>
      </w:pPr>
    </w:p>
    <w:p w14:paraId="2488A2B4" w14:textId="1D2A43B9" w:rsidR="003C6E2C" w:rsidRDefault="005417E8" w:rsidP="003C6E2C">
      <w:pPr>
        <w:rPr>
          <w:b/>
          <w:lang w:val="en-CA"/>
        </w:rPr>
      </w:pPr>
      <w:r>
        <w:rPr>
          <w:b/>
          <w:sz w:val="36"/>
          <w:szCs w:val="36"/>
          <w:lang w:val="en-CA"/>
        </w:rPr>
        <w:t>8</w:t>
      </w:r>
      <w:r w:rsidR="00B451DA" w:rsidRPr="009F463E">
        <w:rPr>
          <w:b/>
          <w:sz w:val="36"/>
          <w:szCs w:val="36"/>
          <w:lang w:val="en-CA"/>
        </w:rPr>
        <w:t>. Academic Policies</w:t>
      </w:r>
    </w:p>
    <w:p w14:paraId="4A0EF82A" w14:textId="77777777" w:rsidR="003C6E2C" w:rsidRDefault="003C6E2C" w:rsidP="003C6E2C">
      <w:pPr>
        <w:rPr>
          <w:lang w:val="en-CA"/>
        </w:rPr>
      </w:pPr>
    </w:p>
    <w:p w14:paraId="3B5338E7" w14:textId="3C9EF9DF" w:rsidR="005953FA" w:rsidRPr="005953FA" w:rsidRDefault="005953FA" w:rsidP="003C6E2C">
      <w:r w:rsidRPr="005953FA">
        <w:t xml:space="preserve">The website for Registrarial Services </w:t>
      </w:r>
      <w:r w:rsidRPr="005953FA">
        <w:rPr>
          <w:lang w:val="en-CA"/>
        </w:rPr>
        <w:t xml:space="preserve">is </w:t>
      </w:r>
      <w:r w:rsidR="00103931" w:rsidRPr="003A4361">
        <w:rPr>
          <w:rFonts w:cs="Arial (Body CS)"/>
          <w:color w:val="0000FF"/>
          <w:sz w:val="22"/>
          <w:lang w:val="en-CA"/>
        </w:rPr>
        <w:t>http://www.registrar.uwo.ca</w:t>
      </w:r>
      <w:r w:rsidR="00103931">
        <w:rPr>
          <w:lang w:val="en-CA"/>
        </w:rPr>
        <w:t xml:space="preserve">. </w:t>
      </w:r>
    </w:p>
    <w:p w14:paraId="02BAC100" w14:textId="77777777" w:rsidR="005953FA" w:rsidRDefault="005953FA" w:rsidP="003C6E2C">
      <w:pPr>
        <w:rPr>
          <w:lang w:val="en-CA"/>
        </w:rPr>
      </w:pPr>
    </w:p>
    <w:p w14:paraId="79066667" w14:textId="77777777" w:rsidR="008D36EC" w:rsidRDefault="00DD63C6" w:rsidP="008D36EC">
      <w:pPr>
        <w:spacing w:after="120"/>
        <w:rPr>
          <w:lang w:val="en-CA"/>
        </w:rPr>
      </w:pPr>
      <w:r>
        <w:rPr>
          <w:lang w:val="en-CA"/>
        </w:rPr>
        <w:t>In accordance with policy,</w:t>
      </w:r>
    </w:p>
    <w:p w14:paraId="734609CF" w14:textId="39E4BDBF" w:rsidR="008D36EC" w:rsidRPr="008D36EC" w:rsidRDefault="008D36EC" w:rsidP="008D36EC">
      <w:pPr>
        <w:spacing w:after="120"/>
        <w:ind w:left="360"/>
        <w:rPr>
          <w:color w:val="0000FF"/>
          <w:sz w:val="22"/>
          <w:szCs w:val="22"/>
          <w:lang w:val="en-CA"/>
        </w:rPr>
      </w:pPr>
      <w:r w:rsidRPr="008D36EC">
        <w:rPr>
          <w:color w:val="0000FF"/>
          <w:sz w:val="22"/>
          <w:szCs w:val="22"/>
          <w:lang w:val="en-CA"/>
        </w:rPr>
        <w:t>https://www.uwo.ca/univsec/pdf/policies_procedures/section1/mapp113.pdf</w:t>
      </w:r>
      <w:r w:rsidR="003A4361" w:rsidRPr="003A4361">
        <w:rPr>
          <w:color w:val="000000" w:themeColor="text1"/>
          <w:sz w:val="22"/>
          <w:szCs w:val="22"/>
          <w:lang w:val="en-CA"/>
        </w:rPr>
        <w:t>,</w:t>
      </w:r>
    </w:p>
    <w:p w14:paraId="3C0291E2" w14:textId="05C0F5DA" w:rsidR="00DD63C6" w:rsidRDefault="00DD63C6" w:rsidP="003C6E2C">
      <w:pPr>
        <w:rPr>
          <w:lang w:val="en-CA"/>
        </w:rPr>
      </w:pPr>
      <w:r>
        <w:rPr>
          <w:lang w:val="en-CA"/>
        </w:rPr>
        <w:t>t</w:t>
      </w:r>
      <w:r w:rsidRPr="00DD63C6">
        <w:rPr>
          <w:lang w:val="en-CA"/>
        </w:rPr>
        <w:t>he centrally administered e-mail account provided to students will</w:t>
      </w:r>
      <w:r>
        <w:rPr>
          <w:lang w:val="en-CA"/>
        </w:rPr>
        <w:t xml:space="preserve"> be considered the individual’</w:t>
      </w:r>
      <w:r w:rsidRPr="00DD63C6">
        <w:rPr>
          <w:lang w:val="en-CA"/>
        </w:rPr>
        <w:t>s official university e-mail address.</w:t>
      </w:r>
      <w:r w:rsidR="00121B8A">
        <w:rPr>
          <w:lang w:val="en-CA"/>
        </w:rPr>
        <w:t xml:space="preserve"> </w:t>
      </w:r>
      <w:r w:rsidRPr="00DD63C6">
        <w:rPr>
          <w:lang w:val="en-CA"/>
        </w:rPr>
        <w:t xml:space="preserve"> It is the responsibility of the account holder to ensure that e-mail received from the University at his/her official university address is attended to in a timely manner.</w:t>
      </w:r>
    </w:p>
    <w:p w14:paraId="56A45182" w14:textId="78D7D398" w:rsidR="00C50B91" w:rsidRDefault="00C50B91" w:rsidP="003C6E2C">
      <w:pPr>
        <w:rPr>
          <w:lang w:val="en-CA"/>
        </w:rPr>
      </w:pPr>
    </w:p>
    <w:p w14:paraId="0ADD7997" w14:textId="135186AF" w:rsidR="00C50B91" w:rsidRDefault="00C50B91" w:rsidP="003C6E2C">
      <w:pPr>
        <w:rPr>
          <w:lang w:val="en-CA"/>
        </w:rPr>
      </w:pPr>
      <w:r>
        <w:rPr>
          <w:lang w:val="en-CA"/>
        </w:rPr>
        <w:t>For the assessments</w:t>
      </w:r>
      <w:r w:rsidR="00F32FFD">
        <w:rPr>
          <w:lang w:val="en-CA"/>
        </w:rPr>
        <w:t xml:space="preserve"> and exams</w:t>
      </w:r>
      <w:r>
        <w:rPr>
          <w:lang w:val="en-CA"/>
        </w:rPr>
        <w:t>, all electronic devices are permitted.</w:t>
      </w:r>
      <w:r w:rsidR="00F32FFD">
        <w:rPr>
          <w:lang w:val="en-CA"/>
        </w:rPr>
        <w:t xml:space="preserve"> During the midterm and exam it is allowed to connect to the internet and consult forums (open book and open internet), however it is NOT allowed to post on any platform nor </w:t>
      </w:r>
      <w:r w:rsidR="00FB564F">
        <w:rPr>
          <w:lang w:val="en-CA"/>
        </w:rPr>
        <w:t>engage with other people either via chats, forums, or any other format.</w:t>
      </w:r>
    </w:p>
    <w:p w14:paraId="6ACEF2A9" w14:textId="77777777" w:rsidR="009A1E1C" w:rsidRDefault="009A1E1C" w:rsidP="003C6E2C">
      <w:pPr>
        <w:rPr>
          <w:lang w:val="en-CA"/>
        </w:rPr>
      </w:pPr>
    </w:p>
    <w:p w14:paraId="1FD94F08" w14:textId="77777777" w:rsidR="00103931" w:rsidRDefault="003A1E08" w:rsidP="009C1E92">
      <w:pPr>
        <w:spacing w:after="120"/>
        <w:rPr>
          <w:lang w:val="en-CA"/>
        </w:rPr>
      </w:pPr>
      <w:r w:rsidRPr="00873BD0">
        <w:rPr>
          <w:b/>
          <w:bCs/>
          <w:lang w:val="en-CA"/>
        </w:rPr>
        <w:t>Scholastic offences</w:t>
      </w:r>
      <w:r w:rsidRPr="003A1E08">
        <w:rPr>
          <w:lang w:val="en-CA"/>
        </w:rPr>
        <w:t xml:space="preserve"> are taken seriously and students are directed to read the appropriate policy, specifically, the definition of what constitutes a Scholastic Offence, at the following Web site:</w:t>
      </w:r>
    </w:p>
    <w:p w14:paraId="214F3973" w14:textId="5F6BF6E6" w:rsidR="00B5755B" w:rsidRDefault="00103931" w:rsidP="00121B8A">
      <w:pPr>
        <w:ind w:left="360"/>
        <w:rPr>
          <w:lang w:val="en-CA"/>
        </w:rPr>
      </w:pPr>
      <w:r w:rsidRPr="00121B8A">
        <w:rPr>
          <w:rFonts w:cs="Arial (Body CS)"/>
          <w:color w:val="0000FF"/>
          <w:sz w:val="22"/>
          <w:lang w:val="en-CA"/>
        </w:rPr>
        <w:t>http://www.uwo.ca/univsec/pdf/academic_policies/appeals/scholastic_discipline_undergrad.pdf</w:t>
      </w:r>
      <w:r>
        <w:rPr>
          <w:lang w:val="en-CA"/>
        </w:rPr>
        <w:t xml:space="preserve">. </w:t>
      </w:r>
    </w:p>
    <w:p w14:paraId="2A39B2CE" w14:textId="77777777" w:rsidR="003C54B8" w:rsidRDefault="00F84EB9" w:rsidP="00B5755B">
      <w:pPr>
        <w:rPr>
          <w:color w:val="0432FF"/>
          <w:lang w:val="en-CA"/>
        </w:rPr>
      </w:pPr>
      <w:r>
        <w:rPr>
          <w:color w:val="0432FF"/>
          <w:lang w:val="en-CA"/>
        </w:rPr>
        <w:t xml:space="preserve"> </w:t>
      </w:r>
    </w:p>
    <w:p w14:paraId="7665FE00" w14:textId="7F3943DE" w:rsidR="002D0376" w:rsidRDefault="005417E8" w:rsidP="002D0376">
      <w:r w:rsidRPr="00B5755B">
        <w:t xml:space="preserve">All required papers may be subject to submission for textual similarity review to the commercial plagiarism detection software under license to the University for the detection of plagiarism. </w:t>
      </w:r>
      <w:r>
        <w:t xml:space="preserve"> </w:t>
      </w:r>
      <w:r w:rsidRPr="00B5755B">
        <w:t xml:space="preserve">All papers submitted for such checking will be included as source documents in the reference database for the purpose of detecting plagiarism of papers subsequently submitted to the system. </w:t>
      </w:r>
      <w:r>
        <w:t xml:space="preserve"> </w:t>
      </w:r>
      <w:r w:rsidRPr="00B5755B">
        <w:t xml:space="preserve">Use of the </w:t>
      </w:r>
      <w:r w:rsidRPr="00B5755B">
        <w:lastRenderedPageBreak/>
        <w:t xml:space="preserve">service is subject to the licensing agreement, currently between The University of Western Ontario and </w:t>
      </w:r>
      <w:r w:rsidRPr="00FB2A3C">
        <w:t>Turnitin.com (</w:t>
      </w:r>
      <w:hyperlink r:id="rId21" w:history="1">
        <w:r w:rsidRPr="0081019D">
          <w:rPr>
            <w:rStyle w:val="Hyperlink"/>
            <w:rFonts w:cs="Arial (Body CS)"/>
          </w:rPr>
          <w:t>http://www.turnitin.com</w:t>
        </w:r>
      </w:hyperlink>
      <w:r w:rsidRPr="00FB2A3C">
        <w:t>).</w:t>
      </w:r>
    </w:p>
    <w:p w14:paraId="7453CA37" w14:textId="77777777" w:rsidR="005417E8" w:rsidRDefault="005417E8" w:rsidP="002D0376">
      <w:pPr>
        <w:rPr>
          <w:lang w:val="en-CA"/>
        </w:rPr>
      </w:pPr>
    </w:p>
    <w:p w14:paraId="360C07B6" w14:textId="77777777" w:rsidR="00766DC0" w:rsidRPr="00766DC0" w:rsidRDefault="00766DC0" w:rsidP="00766DC0">
      <w:pPr>
        <w:pStyle w:val="ListParagraph"/>
        <w:ind w:left="-142" w:right="-291"/>
        <w:rPr>
          <w:rFonts w:eastAsia="Times New Roman" w:cstheme="minorHAnsi"/>
          <w:b/>
        </w:rPr>
      </w:pPr>
      <w:r w:rsidRPr="00766DC0">
        <w:rPr>
          <w:rFonts w:eastAsia="Times New Roman" w:cstheme="minorHAnsi"/>
          <w:b/>
        </w:rPr>
        <w:t>Professionalism &amp; Privacy</w:t>
      </w:r>
    </w:p>
    <w:tbl>
      <w:tblPr>
        <w:tblStyle w:val="TableGrid"/>
        <w:tblW w:w="10070" w:type="dxa"/>
        <w:tblInd w:w="-714" w:type="dxa"/>
        <w:tblLook w:val="04A0" w:firstRow="1" w:lastRow="0" w:firstColumn="1" w:lastColumn="0" w:noHBand="0" w:noVBand="1"/>
      </w:tblPr>
      <w:tblGrid>
        <w:gridCol w:w="1297"/>
        <w:gridCol w:w="8773"/>
      </w:tblGrid>
      <w:tr w:rsidR="00766DC0" w:rsidRPr="00766DC0" w14:paraId="5A0634A9" w14:textId="77777777" w:rsidTr="006C4871">
        <w:tc>
          <w:tcPr>
            <w:tcW w:w="1297" w:type="dxa"/>
            <w:tcBorders>
              <w:top w:val="nil"/>
              <w:left w:val="nil"/>
              <w:bottom w:val="nil"/>
              <w:right w:val="nil"/>
            </w:tcBorders>
            <w:shd w:val="clear" w:color="auto" w:fill="auto"/>
            <w:vAlign w:val="center"/>
          </w:tcPr>
          <w:p w14:paraId="0690A15F" w14:textId="77777777" w:rsidR="00766DC0" w:rsidRPr="00766DC0" w:rsidRDefault="00766DC0" w:rsidP="006C4871">
            <w:pPr>
              <w:widowControl w:val="0"/>
              <w:spacing w:after="240"/>
              <w:ind w:left="38" w:right="33"/>
              <w:jc w:val="center"/>
              <w:rPr>
                <w:rFonts w:cstheme="minorHAnsi"/>
                <w:b/>
                <w:bCs/>
              </w:rPr>
            </w:pPr>
            <w:r w:rsidRPr="00766DC0">
              <w:rPr>
                <w:rFonts w:cstheme="minorHAnsi"/>
                <w:noProof/>
              </w:rPr>
              <w:drawing>
                <wp:inline distT="0" distB="0" distL="0" distR="0" wp14:anchorId="3B1F0C84" wp14:editId="312FE49E">
                  <wp:extent cx="629285" cy="629285"/>
                  <wp:effectExtent l="0" t="0" r="0" b="0"/>
                  <wp:docPr id="160588972" name="Graphic 10" descr="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9285" cy="629285"/>
                          </a:xfrm>
                          <a:prstGeom prst="rect">
                            <a:avLst/>
                          </a:prstGeom>
                        </pic:spPr>
                      </pic:pic>
                    </a:graphicData>
                  </a:graphic>
                </wp:inline>
              </w:drawing>
            </w:r>
          </w:p>
        </w:tc>
        <w:tc>
          <w:tcPr>
            <w:tcW w:w="8772" w:type="dxa"/>
            <w:tcBorders>
              <w:top w:val="nil"/>
              <w:left w:val="nil"/>
              <w:bottom w:val="nil"/>
              <w:right w:val="nil"/>
            </w:tcBorders>
            <w:shd w:val="clear" w:color="auto" w:fill="auto"/>
          </w:tcPr>
          <w:p w14:paraId="758B5B3A" w14:textId="77777777" w:rsidR="00766DC0" w:rsidRPr="00766DC0" w:rsidRDefault="00766DC0" w:rsidP="006C4871">
            <w:pPr>
              <w:widowControl w:val="0"/>
              <w:spacing w:before="120" w:after="120"/>
              <w:ind w:right="34"/>
              <w:jc w:val="both"/>
              <w:rPr>
                <w:rFonts w:cstheme="minorHAnsi"/>
              </w:rPr>
            </w:pPr>
            <w:r w:rsidRPr="00766DC0">
              <w:rPr>
                <w:rFonts w:cstheme="minorHAnsi"/>
              </w:rPr>
              <w:t xml:space="preserve">Western students are expected to follow the </w:t>
            </w:r>
            <w:hyperlink r:id="rId23">
              <w:r w:rsidRPr="00766DC0">
                <w:rPr>
                  <w:rStyle w:val="InternetLink"/>
                  <w:rFonts w:cstheme="minorHAnsi"/>
                </w:rPr>
                <w:t>Student Code of Conduct</w:t>
              </w:r>
            </w:hyperlink>
            <w:r w:rsidRPr="00766DC0">
              <w:rPr>
                <w:rFonts w:cstheme="minorHAnsi"/>
              </w:rPr>
              <w:t>. Additionally, the following expectations and professional conduct apply to this course:</w:t>
            </w:r>
          </w:p>
          <w:p w14:paraId="7E37B63B" w14:textId="77777777" w:rsidR="00766DC0" w:rsidRPr="00766DC0" w:rsidRDefault="00766DC0" w:rsidP="006C4871">
            <w:pPr>
              <w:widowControl w:val="0"/>
              <w:spacing w:before="60" w:after="60"/>
              <w:ind w:right="34"/>
              <w:jc w:val="both"/>
              <w:rPr>
                <w:rFonts w:cstheme="minorHAnsi"/>
              </w:rPr>
            </w:pPr>
            <w:r w:rsidRPr="00766DC0">
              <w:rPr>
                <w:rFonts w:cstheme="minorHAnsi"/>
              </w:rPr>
              <w:fldChar w:fldCharType="begin">
                <w:ffData>
                  <w:name w:val=""/>
                  <w:enabled/>
                  <w:calcOnExit w:val="0"/>
                  <w:checkBox>
                    <w:sizeAuto/>
                    <w:default w:val="0"/>
                    <w:checked/>
                  </w:checkBox>
                </w:ffData>
              </w:fldChar>
            </w:r>
            <w:r w:rsidRPr="00766DC0">
              <w:rPr>
                <w:rFonts w:cstheme="minorHAnsi"/>
              </w:rPr>
              <w:instrText>FORMCHECKBOX</w:instrText>
            </w:r>
            <w:r w:rsidR="00000000">
              <w:rPr>
                <w:rFonts w:cstheme="minorHAnsi"/>
              </w:rPr>
            </w:r>
            <w:r w:rsidR="00000000">
              <w:rPr>
                <w:rFonts w:cstheme="minorHAnsi"/>
              </w:rPr>
              <w:fldChar w:fldCharType="separate"/>
            </w:r>
            <w:bookmarkStart w:id="0" w:name="__Fieldmark__10883_955721858"/>
            <w:bookmarkEnd w:id="0"/>
            <w:r w:rsidRPr="00766DC0">
              <w:rPr>
                <w:rFonts w:cstheme="minorHAnsi"/>
              </w:rPr>
              <w:fldChar w:fldCharType="end"/>
            </w:r>
            <w:r w:rsidRPr="00766DC0">
              <w:rPr>
                <w:rFonts w:cstheme="minorHAnsi"/>
              </w:rPr>
              <w:t xml:space="preserve"> Students are expected to follow online etiquette expectations provided on OWL</w:t>
            </w:r>
          </w:p>
          <w:p w14:paraId="3A56E082" w14:textId="77777777" w:rsidR="00766DC0" w:rsidRPr="00766DC0" w:rsidRDefault="00766DC0" w:rsidP="006C4871">
            <w:pPr>
              <w:widowControl w:val="0"/>
              <w:spacing w:before="60" w:after="60"/>
              <w:ind w:right="34"/>
              <w:jc w:val="both"/>
              <w:rPr>
                <w:rFonts w:cstheme="minorHAnsi"/>
              </w:rPr>
            </w:pPr>
            <w:r w:rsidRPr="00766DC0">
              <w:rPr>
                <w:rFonts w:cstheme="minorHAnsi"/>
              </w:rPr>
              <w:fldChar w:fldCharType="begin">
                <w:ffData>
                  <w:name w:val=""/>
                  <w:enabled/>
                  <w:calcOnExit w:val="0"/>
                  <w:checkBox>
                    <w:sizeAuto/>
                    <w:default w:val="0"/>
                    <w:checked/>
                  </w:checkBox>
                </w:ffData>
              </w:fldChar>
            </w:r>
            <w:r w:rsidRPr="00766DC0">
              <w:rPr>
                <w:rFonts w:cstheme="minorHAnsi"/>
              </w:rPr>
              <w:instrText>FORMCHECKBOX</w:instrText>
            </w:r>
            <w:r w:rsidR="00000000">
              <w:rPr>
                <w:rFonts w:cstheme="minorHAnsi"/>
              </w:rPr>
            </w:r>
            <w:r w:rsidR="00000000">
              <w:rPr>
                <w:rFonts w:cstheme="minorHAnsi"/>
              </w:rPr>
              <w:fldChar w:fldCharType="separate"/>
            </w:r>
            <w:bookmarkStart w:id="1" w:name="__Fieldmark__10892_955721858"/>
            <w:bookmarkEnd w:id="1"/>
            <w:r w:rsidRPr="00766DC0">
              <w:rPr>
                <w:rFonts w:cstheme="minorHAnsi"/>
              </w:rPr>
              <w:fldChar w:fldCharType="end"/>
            </w:r>
            <w:r w:rsidRPr="00766DC0">
              <w:rPr>
                <w:rFonts w:cstheme="minorHAnsi"/>
              </w:rPr>
              <w:t xml:space="preserve"> All course materials created by the instructor(s) are copyrighted and cannot be sold/shared</w:t>
            </w:r>
          </w:p>
          <w:p w14:paraId="31EFA46F" w14:textId="77777777" w:rsidR="00766DC0" w:rsidRPr="00766DC0" w:rsidRDefault="00766DC0" w:rsidP="006C4871">
            <w:pPr>
              <w:widowControl w:val="0"/>
              <w:spacing w:before="60" w:after="60"/>
              <w:ind w:right="34"/>
              <w:jc w:val="both"/>
              <w:rPr>
                <w:rFonts w:cstheme="minorHAnsi"/>
              </w:rPr>
            </w:pPr>
            <w:r w:rsidRPr="00766DC0">
              <w:rPr>
                <w:rFonts w:cstheme="minorHAnsi"/>
              </w:rPr>
              <w:fldChar w:fldCharType="begin">
                <w:ffData>
                  <w:name w:val=""/>
                  <w:enabled/>
                  <w:calcOnExit w:val="0"/>
                  <w:checkBox>
                    <w:sizeAuto/>
                    <w:default w:val="0"/>
                    <w:checked/>
                  </w:checkBox>
                </w:ffData>
              </w:fldChar>
            </w:r>
            <w:r w:rsidRPr="00766DC0">
              <w:rPr>
                <w:rFonts w:cstheme="minorHAnsi"/>
              </w:rPr>
              <w:instrText>FORMCHECKBOX</w:instrText>
            </w:r>
            <w:r w:rsidR="00000000">
              <w:rPr>
                <w:rFonts w:cstheme="minorHAnsi"/>
              </w:rPr>
            </w:r>
            <w:r w:rsidR="00000000">
              <w:rPr>
                <w:rFonts w:cstheme="minorHAnsi"/>
              </w:rPr>
              <w:fldChar w:fldCharType="separate"/>
            </w:r>
            <w:bookmarkStart w:id="2" w:name="__Fieldmark__10902_955721858"/>
            <w:bookmarkEnd w:id="2"/>
            <w:r w:rsidRPr="00766DC0">
              <w:rPr>
                <w:rFonts w:cstheme="minorHAnsi"/>
              </w:rPr>
              <w:fldChar w:fldCharType="end"/>
            </w:r>
            <w:r w:rsidRPr="00766DC0">
              <w:rPr>
                <w:rFonts w:cstheme="minorHAnsi"/>
              </w:rPr>
              <w:t xml:space="preserve"> Recordings are not permitted (audio or video) without explicit permission </w:t>
            </w:r>
          </w:p>
          <w:p w14:paraId="5183FB8F" w14:textId="77777777" w:rsidR="00766DC0" w:rsidRPr="00766DC0" w:rsidRDefault="00766DC0" w:rsidP="006C4871">
            <w:pPr>
              <w:widowControl w:val="0"/>
              <w:spacing w:before="60" w:after="60"/>
              <w:ind w:left="318" w:right="34" w:hanging="302"/>
              <w:jc w:val="both"/>
              <w:rPr>
                <w:rFonts w:cstheme="minorHAnsi"/>
              </w:rPr>
            </w:pPr>
            <w:r w:rsidRPr="00766DC0">
              <w:rPr>
                <w:rFonts w:cstheme="minorHAnsi"/>
              </w:rPr>
              <w:fldChar w:fldCharType="begin">
                <w:ffData>
                  <w:name w:val=""/>
                  <w:enabled/>
                  <w:calcOnExit w:val="0"/>
                  <w:checkBox>
                    <w:sizeAuto/>
                    <w:default w:val="0"/>
                    <w:checked/>
                  </w:checkBox>
                </w:ffData>
              </w:fldChar>
            </w:r>
            <w:r w:rsidRPr="00766DC0">
              <w:rPr>
                <w:rFonts w:cstheme="minorHAnsi"/>
              </w:rPr>
              <w:instrText>FORMCHECKBOX</w:instrText>
            </w:r>
            <w:r w:rsidR="00000000">
              <w:rPr>
                <w:rFonts w:cstheme="minorHAnsi"/>
              </w:rPr>
            </w:r>
            <w:r w:rsidR="00000000">
              <w:rPr>
                <w:rFonts w:cstheme="minorHAnsi"/>
              </w:rPr>
              <w:fldChar w:fldCharType="separate"/>
            </w:r>
            <w:bookmarkStart w:id="3" w:name="__Fieldmark__10907_955721858"/>
            <w:bookmarkEnd w:id="3"/>
            <w:r w:rsidRPr="00766DC0">
              <w:rPr>
                <w:rFonts w:cstheme="minorHAnsi"/>
              </w:rPr>
              <w:fldChar w:fldCharType="end"/>
            </w:r>
            <w:r w:rsidRPr="00766DC0">
              <w:rPr>
                <w:rFonts w:cstheme="minorHAnsi"/>
              </w:rPr>
              <w:t xml:space="preserve"> Permitted recordings are not to be distributed</w:t>
            </w:r>
          </w:p>
          <w:p w14:paraId="4F56707E" w14:textId="77777777" w:rsidR="00766DC0" w:rsidRPr="00766DC0" w:rsidRDefault="00766DC0" w:rsidP="006C4871">
            <w:pPr>
              <w:widowControl w:val="0"/>
              <w:spacing w:before="60" w:after="60"/>
              <w:ind w:left="318" w:right="34" w:hanging="318"/>
              <w:jc w:val="both"/>
              <w:rPr>
                <w:rFonts w:cstheme="minorHAnsi"/>
              </w:rPr>
            </w:pPr>
            <w:r w:rsidRPr="00766DC0">
              <w:rPr>
                <w:rFonts w:cstheme="minorHAnsi"/>
              </w:rPr>
              <w:fldChar w:fldCharType="begin">
                <w:ffData>
                  <w:name w:val=""/>
                  <w:enabled/>
                  <w:calcOnExit w:val="0"/>
                  <w:checkBox>
                    <w:sizeAuto/>
                    <w:default w:val="0"/>
                    <w:checked/>
                  </w:checkBox>
                </w:ffData>
              </w:fldChar>
            </w:r>
            <w:r w:rsidRPr="00766DC0">
              <w:rPr>
                <w:rFonts w:cstheme="minorHAnsi"/>
              </w:rPr>
              <w:instrText>FORMCHECKBOX</w:instrText>
            </w:r>
            <w:r w:rsidR="00000000">
              <w:rPr>
                <w:rFonts w:cstheme="minorHAnsi"/>
              </w:rPr>
            </w:r>
            <w:r w:rsidR="00000000">
              <w:rPr>
                <w:rFonts w:cstheme="minorHAnsi"/>
              </w:rPr>
              <w:fldChar w:fldCharType="separate"/>
            </w:r>
            <w:bookmarkStart w:id="4" w:name="__Fieldmark__10911_955721858"/>
            <w:bookmarkEnd w:id="4"/>
            <w:r w:rsidRPr="00766DC0">
              <w:rPr>
                <w:rFonts w:cstheme="minorHAnsi"/>
              </w:rPr>
              <w:fldChar w:fldCharType="end"/>
            </w:r>
            <w:r w:rsidRPr="00766DC0">
              <w:rPr>
                <w:rFonts w:cstheme="minorHAnsi"/>
              </w:rPr>
              <w:t xml:space="preserve"> Students will be expected to take an academic integrity pledge before some assessments</w:t>
            </w:r>
          </w:p>
          <w:p w14:paraId="42267FEB" w14:textId="77777777" w:rsidR="00766DC0" w:rsidRPr="00766DC0" w:rsidRDefault="00766DC0" w:rsidP="006C4871">
            <w:pPr>
              <w:widowControl w:val="0"/>
              <w:spacing w:before="60" w:after="60"/>
              <w:ind w:right="34"/>
              <w:jc w:val="both"/>
              <w:rPr>
                <w:rFonts w:cstheme="minorHAnsi"/>
                <w:lang w:val="en-CA"/>
              </w:rPr>
            </w:pPr>
            <w:r w:rsidRPr="00766DC0">
              <w:rPr>
                <w:rFonts w:cstheme="minorHAnsi"/>
              </w:rPr>
              <w:fldChar w:fldCharType="begin">
                <w:ffData>
                  <w:name w:val=""/>
                  <w:enabled/>
                  <w:calcOnExit w:val="0"/>
                  <w:checkBox>
                    <w:sizeAuto/>
                    <w:default w:val="0"/>
                    <w:checked/>
                  </w:checkBox>
                </w:ffData>
              </w:fldChar>
            </w:r>
            <w:r w:rsidRPr="00766DC0">
              <w:rPr>
                <w:rFonts w:cstheme="minorHAnsi"/>
              </w:rPr>
              <w:instrText>FORMCHECKBOX</w:instrText>
            </w:r>
            <w:r w:rsidR="00000000">
              <w:rPr>
                <w:rFonts w:cstheme="minorHAnsi"/>
              </w:rPr>
            </w:r>
            <w:r w:rsidR="00000000">
              <w:rPr>
                <w:rFonts w:cstheme="minorHAnsi"/>
              </w:rPr>
              <w:fldChar w:fldCharType="separate"/>
            </w:r>
            <w:bookmarkStart w:id="5" w:name="__Fieldmark__10918_955721858"/>
            <w:bookmarkEnd w:id="5"/>
            <w:r w:rsidRPr="00766DC0">
              <w:rPr>
                <w:rFonts w:cstheme="minorHAnsi"/>
              </w:rPr>
              <w:fldChar w:fldCharType="end"/>
            </w:r>
            <w:r w:rsidRPr="00766DC0">
              <w:rPr>
                <w:rFonts w:cstheme="minorHAnsi"/>
              </w:rPr>
              <w:t xml:space="preserve"> </w:t>
            </w:r>
            <w:r w:rsidRPr="00766DC0">
              <w:rPr>
                <w:rFonts w:cstheme="minorHAnsi"/>
                <w:lang w:val="en-CA"/>
              </w:rPr>
              <w:t xml:space="preserve">All recorded sessions will remain within the course site or unlisted if streamed </w:t>
            </w:r>
          </w:p>
        </w:tc>
      </w:tr>
    </w:tbl>
    <w:p w14:paraId="409A977C" w14:textId="05B2429F" w:rsidR="00766DC0" w:rsidRPr="00766DC0" w:rsidRDefault="00766DC0" w:rsidP="002D0376"/>
    <w:p w14:paraId="22B287AF" w14:textId="77777777" w:rsidR="00766DC0" w:rsidRDefault="00766DC0" w:rsidP="002D0376">
      <w:pPr>
        <w:rPr>
          <w:lang w:val="en-CA"/>
        </w:rPr>
      </w:pPr>
    </w:p>
    <w:p w14:paraId="41CE36FE" w14:textId="77777777" w:rsidR="002D0376" w:rsidRPr="00AC186F" w:rsidRDefault="002D0376" w:rsidP="002D0376">
      <w:pPr>
        <w:jc w:val="both"/>
        <w:rPr>
          <w:rFonts w:cstheme="minorHAnsi"/>
          <w:b/>
          <w:bCs/>
        </w:rPr>
      </w:pPr>
      <w:r w:rsidRPr="00AC186F">
        <w:rPr>
          <w:rFonts w:cstheme="minorHAnsi"/>
          <w:b/>
          <w:bCs/>
        </w:rPr>
        <w:t>Copyright Statement</w:t>
      </w:r>
    </w:p>
    <w:p w14:paraId="1F2084D1" w14:textId="0BD9D756" w:rsidR="002D0376" w:rsidRPr="00AC186F" w:rsidRDefault="002D0376" w:rsidP="002D0376">
      <w:pPr>
        <w:jc w:val="both"/>
        <w:rPr>
          <w:rFonts w:cstheme="minorHAnsi"/>
        </w:rPr>
      </w:pPr>
      <w:r w:rsidRPr="00AC186F">
        <w:rPr>
          <w:rFonts w:cstheme="minorHAnsi"/>
        </w:rPr>
        <w:t xml:space="preserve">Please be aware that all course materials created by the instructor(s) are copyrighted and cannot be </w:t>
      </w:r>
      <w:r w:rsidRPr="00AC186F">
        <w:rPr>
          <w:rFonts w:cstheme="minorHAnsi"/>
          <w:b/>
          <w:bCs/>
        </w:rPr>
        <w:t>sold/shared</w:t>
      </w:r>
      <w:r w:rsidRPr="00AC186F">
        <w:rPr>
          <w:rFonts w:cstheme="minorHAnsi"/>
        </w:rPr>
        <w:t xml:space="preserve">. Those include materials used in tests/quizzes, midterms, and finals. Any posting/sharing of such materials in part or whole without </w:t>
      </w:r>
      <w:r w:rsidR="00BA4A91">
        <w:rPr>
          <w:rFonts w:cstheme="minorHAnsi"/>
        </w:rPr>
        <w:t xml:space="preserve">the </w:t>
      </w:r>
      <w:r w:rsidRPr="00AC186F">
        <w:rPr>
          <w:rFonts w:cstheme="minorHAnsi"/>
        </w:rPr>
        <w:t xml:space="preserve">owner’s consent is considered </w:t>
      </w:r>
      <w:r w:rsidR="00BA4A91">
        <w:rPr>
          <w:rFonts w:cstheme="minorHAnsi"/>
        </w:rPr>
        <w:t xml:space="preserve">a </w:t>
      </w:r>
      <w:r w:rsidRPr="00AC186F">
        <w:rPr>
          <w:rFonts w:cstheme="minorHAnsi"/>
        </w:rPr>
        <w:t xml:space="preserve">violation of the Copyright Act and will be considered a scholastic offence. </w:t>
      </w:r>
    </w:p>
    <w:p w14:paraId="3D9417E6" w14:textId="77777777" w:rsidR="002D0376" w:rsidRPr="00AC186F" w:rsidRDefault="002D0376" w:rsidP="002D0376">
      <w:pPr>
        <w:jc w:val="both"/>
        <w:rPr>
          <w:rFonts w:cstheme="minorHAnsi"/>
        </w:rPr>
      </w:pPr>
    </w:p>
    <w:p w14:paraId="7565A174" w14:textId="626BCEAE" w:rsidR="002D0376" w:rsidRPr="00AC186F" w:rsidRDefault="002D0376" w:rsidP="002D0376">
      <w:pPr>
        <w:rPr>
          <w:rFonts w:cstheme="minorHAnsi"/>
          <w:lang w:val="en-CA"/>
        </w:rPr>
      </w:pPr>
      <w:r w:rsidRPr="00AC186F">
        <w:rPr>
          <w:rFonts w:eastAsia="Times New Roman" w:cstheme="minorHAnsi"/>
          <w:lang w:eastAsia="en-CA"/>
        </w:rPr>
        <w:t xml:space="preserve">In addition, online services such as Chegg are actively monitored. </w:t>
      </w:r>
      <w:r>
        <w:rPr>
          <w:rFonts w:eastAsia="Times New Roman" w:cstheme="minorHAnsi"/>
          <w:lang w:eastAsia="en-CA"/>
        </w:rPr>
        <w:t xml:space="preserve">Such </w:t>
      </w:r>
      <w:r w:rsidRPr="00AC186F">
        <w:rPr>
          <w:rFonts w:eastAsia="Times New Roman" w:cstheme="minorHAnsi"/>
          <w:lang w:eastAsia="en-CA"/>
        </w:rPr>
        <w:t xml:space="preserve">an activity will be considered a scholastic offence and will result in </w:t>
      </w:r>
      <w:r w:rsidR="00BA4A91">
        <w:rPr>
          <w:rFonts w:eastAsia="Times New Roman" w:cstheme="minorHAnsi"/>
          <w:lang w:eastAsia="en-CA"/>
        </w:rPr>
        <w:t xml:space="preserve">an </w:t>
      </w:r>
      <w:r w:rsidRPr="00AC186F">
        <w:rPr>
          <w:rFonts w:eastAsia="Times New Roman" w:cstheme="minorHAnsi"/>
          <w:lang w:eastAsia="en-CA"/>
        </w:rPr>
        <w:t>academic penalty</w:t>
      </w:r>
    </w:p>
    <w:p w14:paraId="5E0B6672" w14:textId="77777777" w:rsidR="002D0376" w:rsidRDefault="002D0376" w:rsidP="003C6E2C">
      <w:pPr>
        <w:rPr>
          <w:lang w:val="en-CA"/>
        </w:rPr>
      </w:pPr>
    </w:p>
    <w:p w14:paraId="5468C6B0" w14:textId="77777777" w:rsidR="003A4361" w:rsidRPr="003C6E2C" w:rsidRDefault="003A4361" w:rsidP="003C6E2C">
      <w:pPr>
        <w:rPr>
          <w:lang w:val="en-CA"/>
        </w:rPr>
      </w:pPr>
    </w:p>
    <w:p w14:paraId="3CD8A0B8" w14:textId="6B7AEC5A" w:rsidR="003C6E2C" w:rsidRDefault="00DE256D">
      <w:pPr>
        <w:rPr>
          <w:lang w:val="en-CA"/>
        </w:rPr>
      </w:pPr>
      <w:r>
        <w:rPr>
          <w:b/>
          <w:sz w:val="36"/>
          <w:szCs w:val="36"/>
          <w:lang w:val="en-CA"/>
        </w:rPr>
        <w:t>9</w:t>
      </w:r>
      <w:r w:rsidR="00B451DA" w:rsidRPr="009F463E">
        <w:rPr>
          <w:b/>
          <w:sz w:val="36"/>
          <w:szCs w:val="36"/>
          <w:lang w:val="en-CA"/>
        </w:rPr>
        <w:t>. Support Services</w:t>
      </w:r>
    </w:p>
    <w:p w14:paraId="17DDA75F" w14:textId="77777777" w:rsidR="00B451DA" w:rsidRDefault="00B451DA" w:rsidP="00784562">
      <w:pPr>
        <w:rPr>
          <w:lang w:val="en-CA"/>
        </w:rPr>
      </w:pPr>
    </w:p>
    <w:p w14:paraId="48C03F96" w14:textId="757787AB" w:rsidR="00C41206" w:rsidRDefault="00C41206" w:rsidP="00784562">
      <w:pPr>
        <w:rPr>
          <w:lang w:val="en-CA"/>
        </w:rPr>
      </w:pPr>
      <w:r>
        <w:rPr>
          <w:lang w:val="en-CA"/>
        </w:rPr>
        <w:t xml:space="preserve">Please visit the </w:t>
      </w:r>
      <w:r w:rsidRPr="00C41206">
        <w:rPr>
          <w:lang w:val="en-CA"/>
        </w:rPr>
        <w:t>Science &amp; Basic Medical Sciences Academic Counselling</w:t>
      </w:r>
      <w:r>
        <w:rPr>
          <w:lang w:val="en-CA"/>
        </w:rPr>
        <w:t xml:space="preserve"> webpage for information on add</w:t>
      </w:r>
      <w:r w:rsidR="00DF46AA">
        <w:rPr>
          <w:lang w:val="en-CA"/>
        </w:rPr>
        <w:t>ing</w:t>
      </w:r>
      <w:r>
        <w:rPr>
          <w:lang w:val="en-CA"/>
        </w:rPr>
        <w:t>/drop</w:t>
      </w:r>
      <w:r w:rsidR="00DF46AA">
        <w:rPr>
          <w:lang w:val="en-CA"/>
        </w:rPr>
        <w:t>ping</w:t>
      </w:r>
      <w:r>
        <w:rPr>
          <w:lang w:val="en-CA"/>
        </w:rPr>
        <w:t xml:space="preserve"> courses, academic considerations for absences, appeals, exam conflicts, and many other academic</w:t>
      </w:r>
      <w:r w:rsidR="00BA4A91">
        <w:rPr>
          <w:lang w:val="en-CA"/>
        </w:rPr>
        <w:t>-</w:t>
      </w:r>
      <w:r>
        <w:rPr>
          <w:lang w:val="en-CA"/>
        </w:rPr>
        <w:t xml:space="preserve">related matters: </w:t>
      </w:r>
      <w:r w:rsidRPr="00121B8A">
        <w:rPr>
          <w:color w:val="0000FF"/>
          <w:lang w:val="en-CA"/>
        </w:rPr>
        <w:t>https://www.uwo.ca/sci/counselling/</w:t>
      </w:r>
      <w:r w:rsidR="00121B8A">
        <w:rPr>
          <w:lang w:val="en-CA"/>
        </w:rPr>
        <w:t>.</w:t>
      </w:r>
    </w:p>
    <w:p w14:paraId="432F114F" w14:textId="77777777" w:rsidR="00C41206" w:rsidRDefault="00C41206" w:rsidP="00784562">
      <w:pPr>
        <w:rPr>
          <w:lang w:val="en-CA"/>
        </w:rPr>
      </w:pPr>
    </w:p>
    <w:p w14:paraId="69544620" w14:textId="77777777" w:rsidR="003D05EC" w:rsidRPr="007A071F" w:rsidRDefault="003D05EC" w:rsidP="003D05EC">
      <w:pPr>
        <w:rPr>
          <w:color w:val="0000FF"/>
        </w:rPr>
      </w:pPr>
      <w:r w:rsidRPr="003C6E2C">
        <w:t>Students who are in emotional/mental distress should refer to Mental Health@Western (</w:t>
      </w:r>
      <w:r w:rsidRPr="00DB4423">
        <w:rPr>
          <w:color w:val="0000FF"/>
        </w:rPr>
        <w:t>https://uwo.ca/health/</w:t>
      </w:r>
      <w:r w:rsidRPr="003C6E2C">
        <w:t>) for a complete list of options about how to obtain help.</w:t>
      </w:r>
    </w:p>
    <w:p w14:paraId="6C9A6141" w14:textId="53F9A43B" w:rsidR="00784562" w:rsidRPr="003D05EC" w:rsidRDefault="00784562"/>
    <w:p w14:paraId="71489DC8" w14:textId="77777777" w:rsidR="00573CDF" w:rsidRDefault="00573CDF" w:rsidP="00573CDF">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t xml:space="preserve"> </w:t>
      </w:r>
      <w:r w:rsidRPr="00266229">
        <w:t>If you have experienced sexual or gender-based violence (either recently or in the past), you will find information about support services for survivors, including emergency contacts</w:t>
      </w:r>
      <w:r>
        <w:t xml:space="preserve"> at</w:t>
      </w:r>
    </w:p>
    <w:p w14:paraId="09DA089B" w14:textId="77777777" w:rsidR="00573CDF" w:rsidRDefault="00573CDF" w:rsidP="00573CDF">
      <w:pPr>
        <w:spacing w:after="120"/>
        <w:ind w:left="360"/>
      </w:pPr>
      <w:r w:rsidRPr="00266229">
        <w:rPr>
          <w:color w:val="0000FF"/>
        </w:rPr>
        <w:t>https://www.uwo.ca/health/student_support/survivor_support/get-help.html</w:t>
      </w:r>
      <w:r w:rsidRPr="00266229">
        <w:t xml:space="preserve">.  </w:t>
      </w:r>
    </w:p>
    <w:p w14:paraId="0C88DB08" w14:textId="77777777" w:rsidR="00573CDF" w:rsidRPr="00266229" w:rsidRDefault="00573CDF" w:rsidP="00573CDF">
      <w:pPr>
        <w:rPr>
          <w:color w:val="0000FF"/>
        </w:rPr>
      </w:pPr>
      <w:r w:rsidRPr="00266229">
        <w:t>To connect with a case manager or set up an appointment, please contact </w:t>
      </w:r>
      <w:r w:rsidRPr="00266229">
        <w:rPr>
          <w:color w:val="0000FF"/>
        </w:rPr>
        <w:t>support@uwo.ca</w:t>
      </w:r>
      <w:r w:rsidRPr="00266229">
        <w:t>.</w:t>
      </w:r>
    </w:p>
    <w:p w14:paraId="03F2C554" w14:textId="07EA69C9" w:rsidR="003C54B8" w:rsidRDefault="003C54B8">
      <w:pPr>
        <w:rPr>
          <w:lang w:val="en-CA"/>
        </w:rPr>
      </w:pPr>
    </w:p>
    <w:p w14:paraId="74851C9F" w14:textId="77777777" w:rsidR="00583089" w:rsidRDefault="00583089" w:rsidP="00583089">
      <w:r w:rsidRPr="003C6E2C">
        <w:lastRenderedPageBreak/>
        <w:t>Learning-skills counsellors at the Student Development Centre (</w:t>
      </w:r>
      <w:r w:rsidRPr="00A411D6">
        <w:rPr>
          <w:color w:val="0000FF"/>
        </w:rPr>
        <w:t>https://learning.uwo.ca</w:t>
      </w:r>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14:paraId="46E90582" w14:textId="2B8FF293" w:rsidR="00583089" w:rsidRDefault="00583089"/>
    <w:p w14:paraId="2739705A" w14:textId="77777777" w:rsidR="00DE256D" w:rsidRPr="001C0BCA" w:rsidRDefault="00DE256D" w:rsidP="00DE256D">
      <w:pPr>
        <w:rPr>
          <w:color w:val="FF0000"/>
        </w:rPr>
      </w:pPr>
      <w:r w:rsidRPr="00556ECC">
        <w:t>Western University is committed to a thriving campus</w:t>
      </w:r>
      <w:r>
        <w:t xml:space="preserve"> as we deliver our courses in the mixed model of both virtual and face-to-face formats</w:t>
      </w:r>
      <w:r w:rsidRPr="00556ECC">
        <w:t xml:space="preserve">. </w:t>
      </w:r>
      <w:r>
        <w:t xml:space="preserve"> </w:t>
      </w:r>
      <w:r w:rsidRPr="00556ECC">
        <w:t>We encourage you to check out the Digital Student Experience website to manage your academics and well-being</w:t>
      </w:r>
      <w:r>
        <w:t xml:space="preserve">: </w:t>
      </w:r>
      <w:r w:rsidRPr="00C25D9E">
        <w:rPr>
          <w:color w:val="0000FF"/>
        </w:rPr>
        <w:t>https://www.uwo.ca/se/digital/</w:t>
      </w:r>
      <w:r>
        <w:t>.</w:t>
      </w:r>
    </w:p>
    <w:p w14:paraId="6197E57D" w14:textId="77777777" w:rsidR="00DE256D" w:rsidRPr="003C6E2C" w:rsidRDefault="00DE256D" w:rsidP="00DE256D"/>
    <w:p w14:paraId="1B4BE07A" w14:textId="77777777" w:rsidR="00DE256D" w:rsidRPr="007A071F" w:rsidRDefault="00DE256D" w:rsidP="00DE256D">
      <w:pPr>
        <w:rPr>
          <w:color w:val="0000FF"/>
        </w:rPr>
      </w:pPr>
      <w:r w:rsidRPr="003C6E2C">
        <w:t xml:space="preserve">Additional student-run support services are offered by the USC, </w:t>
      </w:r>
      <w:r w:rsidRPr="007A071F">
        <w:rPr>
          <w:color w:val="0000FF"/>
        </w:rPr>
        <w:t> https://westernusc.ca/services/</w:t>
      </w:r>
      <w:r w:rsidRPr="00C72B92">
        <w:rPr>
          <w:color w:val="000000" w:themeColor="text1"/>
        </w:rPr>
        <w:t>.</w:t>
      </w:r>
    </w:p>
    <w:p w14:paraId="4C59AC72" w14:textId="77777777" w:rsidR="00DE256D" w:rsidRPr="00583089" w:rsidRDefault="00DE256D"/>
    <w:sectPr w:rsidR="00DE256D" w:rsidRPr="00583089" w:rsidSect="00D06DE9">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00000001"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A5190"/>
    <w:multiLevelType w:val="hybridMultilevel"/>
    <w:tmpl w:val="78829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9256A0"/>
    <w:multiLevelType w:val="hybridMultilevel"/>
    <w:tmpl w:val="18CC8B70"/>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 w15:restartNumberingAfterBreak="0">
    <w:nsid w:val="2F6612E8"/>
    <w:multiLevelType w:val="hybridMultilevel"/>
    <w:tmpl w:val="FAAC3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134BD"/>
    <w:multiLevelType w:val="hybridMultilevel"/>
    <w:tmpl w:val="F2AE7E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86642FA"/>
    <w:multiLevelType w:val="hybridMultilevel"/>
    <w:tmpl w:val="8266E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BEF5644"/>
    <w:multiLevelType w:val="hybridMultilevel"/>
    <w:tmpl w:val="E6F86D06"/>
    <w:lvl w:ilvl="0" w:tplc="2312AF4E">
      <w:numFmt w:val="bullet"/>
      <w:lvlText w:val="•"/>
      <w:lvlJc w:val="left"/>
      <w:pPr>
        <w:ind w:left="1080" w:hanging="72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55100F0D"/>
    <w:multiLevelType w:val="hybridMultilevel"/>
    <w:tmpl w:val="43CAEA2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16cid:durableId="1080760783">
    <w:abstractNumId w:val="1"/>
  </w:num>
  <w:num w:numId="2" w16cid:durableId="1363438085">
    <w:abstractNumId w:val="0"/>
  </w:num>
  <w:num w:numId="3" w16cid:durableId="1637569847">
    <w:abstractNumId w:val="5"/>
  </w:num>
  <w:num w:numId="4" w16cid:durableId="999582739">
    <w:abstractNumId w:val="2"/>
  </w:num>
  <w:num w:numId="5" w16cid:durableId="274410652">
    <w:abstractNumId w:val="7"/>
  </w:num>
  <w:num w:numId="6" w16cid:durableId="361709074">
    <w:abstractNumId w:val="4"/>
  </w:num>
  <w:num w:numId="7" w16cid:durableId="930238370">
    <w:abstractNumId w:val="3"/>
  </w:num>
  <w:num w:numId="8" w16cid:durableId="1332685403">
    <w:abstractNumId w:val="6"/>
  </w:num>
  <w:num w:numId="9" w16cid:durableId="1156188416">
    <w:abstractNumId w:val="8"/>
  </w:num>
  <w:num w:numId="10" w16cid:durableId="1332903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tLQwMzIxsLA0szBU0lEKTi0uzszPAykwqgUAhZNShywAAAA="/>
  </w:docVars>
  <w:rsids>
    <w:rsidRoot w:val="00CF2B11"/>
    <w:rsid w:val="00014FF4"/>
    <w:rsid w:val="00022EF9"/>
    <w:rsid w:val="000237F8"/>
    <w:rsid w:val="000341D7"/>
    <w:rsid w:val="00060716"/>
    <w:rsid w:val="00072EC0"/>
    <w:rsid w:val="000802D7"/>
    <w:rsid w:val="000A12EC"/>
    <w:rsid w:val="000A1F30"/>
    <w:rsid w:val="000B5212"/>
    <w:rsid w:val="000C7FF6"/>
    <w:rsid w:val="000D207E"/>
    <w:rsid w:val="000E087E"/>
    <w:rsid w:val="00103931"/>
    <w:rsid w:val="00115B0C"/>
    <w:rsid w:val="00117277"/>
    <w:rsid w:val="00121B8A"/>
    <w:rsid w:val="00142E14"/>
    <w:rsid w:val="001445AB"/>
    <w:rsid w:val="00165FA3"/>
    <w:rsid w:val="00166B59"/>
    <w:rsid w:val="0018305F"/>
    <w:rsid w:val="001B0513"/>
    <w:rsid w:val="001B60E6"/>
    <w:rsid w:val="001B6DA1"/>
    <w:rsid w:val="001C0379"/>
    <w:rsid w:val="001C0BCA"/>
    <w:rsid w:val="001E13BD"/>
    <w:rsid w:val="001E1463"/>
    <w:rsid w:val="001E2348"/>
    <w:rsid w:val="001E4018"/>
    <w:rsid w:val="001F386E"/>
    <w:rsid w:val="00224D73"/>
    <w:rsid w:val="00232781"/>
    <w:rsid w:val="002330A3"/>
    <w:rsid w:val="00235D36"/>
    <w:rsid w:val="00240D80"/>
    <w:rsid w:val="002475C3"/>
    <w:rsid w:val="00250041"/>
    <w:rsid w:val="002620DF"/>
    <w:rsid w:val="00281D65"/>
    <w:rsid w:val="0028572A"/>
    <w:rsid w:val="00295C95"/>
    <w:rsid w:val="002964CC"/>
    <w:rsid w:val="002B233D"/>
    <w:rsid w:val="002B5500"/>
    <w:rsid w:val="002C1B02"/>
    <w:rsid w:val="002C35DD"/>
    <w:rsid w:val="002C5ED2"/>
    <w:rsid w:val="002C6C82"/>
    <w:rsid w:val="002D0376"/>
    <w:rsid w:val="002E59E0"/>
    <w:rsid w:val="002E6A35"/>
    <w:rsid w:val="003037B0"/>
    <w:rsid w:val="00311AA1"/>
    <w:rsid w:val="00322407"/>
    <w:rsid w:val="00326122"/>
    <w:rsid w:val="003402A7"/>
    <w:rsid w:val="00351754"/>
    <w:rsid w:val="00382087"/>
    <w:rsid w:val="00391F9A"/>
    <w:rsid w:val="003935C8"/>
    <w:rsid w:val="003A1E08"/>
    <w:rsid w:val="003A4361"/>
    <w:rsid w:val="003A6638"/>
    <w:rsid w:val="003B25F7"/>
    <w:rsid w:val="003B71C6"/>
    <w:rsid w:val="003C54B8"/>
    <w:rsid w:val="003C6E2C"/>
    <w:rsid w:val="003D05EC"/>
    <w:rsid w:val="003F0C6D"/>
    <w:rsid w:val="00403CC2"/>
    <w:rsid w:val="0043114F"/>
    <w:rsid w:val="00431A76"/>
    <w:rsid w:val="004338DC"/>
    <w:rsid w:val="004365CA"/>
    <w:rsid w:val="00440D2B"/>
    <w:rsid w:val="00442EDB"/>
    <w:rsid w:val="00475F65"/>
    <w:rsid w:val="00481FC0"/>
    <w:rsid w:val="004943D5"/>
    <w:rsid w:val="00497318"/>
    <w:rsid w:val="004A0DB6"/>
    <w:rsid w:val="004B1B27"/>
    <w:rsid w:val="004C311E"/>
    <w:rsid w:val="004C3888"/>
    <w:rsid w:val="004C3FE9"/>
    <w:rsid w:val="004D01D2"/>
    <w:rsid w:val="004F1FFF"/>
    <w:rsid w:val="004F4F29"/>
    <w:rsid w:val="004F7D4A"/>
    <w:rsid w:val="00500023"/>
    <w:rsid w:val="00525135"/>
    <w:rsid w:val="005315B1"/>
    <w:rsid w:val="005417E8"/>
    <w:rsid w:val="005422E4"/>
    <w:rsid w:val="00551FDA"/>
    <w:rsid w:val="00556ECC"/>
    <w:rsid w:val="00573CDF"/>
    <w:rsid w:val="005808B4"/>
    <w:rsid w:val="00583089"/>
    <w:rsid w:val="005863E6"/>
    <w:rsid w:val="005864C4"/>
    <w:rsid w:val="00591058"/>
    <w:rsid w:val="005953FA"/>
    <w:rsid w:val="00597639"/>
    <w:rsid w:val="005B232E"/>
    <w:rsid w:val="005C12AF"/>
    <w:rsid w:val="005C66A6"/>
    <w:rsid w:val="005D6CC7"/>
    <w:rsid w:val="005E181F"/>
    <w:rsid w:val="00602718"/>
    <w:rsid w:val="00610064"/>
    <w:rsid w:val="00612D82"/>
    <w:rsid w:val="00637E77"/>
    <w:rsid w:val="00676667"/>
    <w:rsid w:val="00681697"/>
    <w:rsid w:val="006978B1"/>
    <w:rsid w:val="006A17AD"/>
    <w:rsid w:val="006A4040"/>
    <w:rsid w:val="006B76BA"/>
    <w:rsid w:val="006C4193"/>
    <w:rsid w:val="006D585D"/>
    <w:rsid w:val="006E7834"/>
    <w:rsid w:val="006F14FE"/>
    <w:rsid w:val="006F2006"/>
    <w:rsid w:val="006F72FE"/>
    <w:rsid w:val="007169B1"/>
    <w:rsid w:val="00721299"/>
    <w:rsid w:val="00724E4D"/>
    <w:rsid w:val="00741ED3"/>
    <w:rsid w:val="00742276"/>
    <w:rsid w:val="00752121"/>
    <w:rsid w:val="007628C4"/>
    <w:rsid w:val="00762C80"/>
    <w:rsid w:val="00766DC0"/>
    <w:rsid w:val="00771A39"/>
    <w:rsid w:val="0078291D"/>
    <w:rsid w:val="00784562"/>
    <w:rsid w:val="00786027"/>
    <w:rsid w:val="007A5D4F"/>
    <w:rsid w:val="007A5E9B"/>
    <w:rsid w:val="007B63AE"/>
    <w:rsid w:val="007D03BE"/>
    <w:rsid w:val="007D5007"/>
    <w:rsid w:val="007D561A"/>
    <w:rsid w:val="00806B1C"/>
    <w:rsid w:val="008168CF"/>
    <w:rsid w:val="00816C72"/>
    <w:rsid w:val="0082426F"/>
    <w:rsid w:val="008273D0"/>
    <w:rsid w:val="00830EC1"/>
    <w:rsid w:val="00845B86"/>
    <w:rsid w:val="00851E02"/>
    <w:rsid w:val="00852477"/>
    <w:rsid w:val="008627F5"/>
    <w:rsid w:val="0086315A"/>
    <w:rsid w:val="008720B1"/>
    <w:rsid w:val="00873609"/>
    <w:rsid w:val="00873BD0"/>
    <w:rsid w:val="00882EFE"/>
    <w:rsid w:val="008836FC"/>
    <w:rsid w:val="008A0453"/>
    <w:rsid w:val="008A2AAA"/>
    <w:rsid w:val="008A3113"/>
    <w:rsid w:val="008A3BC7"/>
    <w:rsid w:val="008C038D"/>
    <w:rsid w:val="008C16F7"/>
    <w:rsid w:val="008D36EC"/>
    <w:rsid w:val="008D433E"/>
    <w:rsid w:val="008D5206"/>
    <w:rsid w:val="008D7CAC"/>
    <w:rsid w:val="008E2F44"/>
    <w:rsid w:val="008E4386"/>
    <w:rsid w:val="008F4182"/>
    <w:rsid w:val="0092652A"/>
    <w:rsid w:val="00942504"/>
    <w:rsid w:val="009653D3"/>
    <w:rsid w:val="00972CCA"/>
    <w:rsid w:val="009761AD"/>
    <w:rsid w:val="009841DC"/>
    <w:rsid w:val="00985642"/>
    <w:rsid w:val="00996231"/>
    <w:rsid w:val="009A1E1C"/>
    <w:rsid w:val="009B34CF"/>
    <w:rsid w:val="009C1E92"/>
    <w:rsid w:val="009D339D"/>
    <w:rsid w:val="009E0FDD"/>
    <w:rsid w:val="009F131E"/>
    <w:rsid w:val="009F1CBE"/>
    <w:rsid w:val="009F1F74"/>
    <w:rsid w:val="009F4400"/>
    <w:rsid w:val="009F463E"/>
    <w:rsid w:val="00A11E99"/>
    <w:rsid w:val="00A34407"/>
    <w:rsid w:val="00A40EE2"/>
    <w:rsid w:val="00A54050"/>
    <w:rsid w:val="00A57A19"/>
    <w:rsid w:val="00A72780"/>
    <w:rsid w:val="00A83929"/>
    <w:rsid w:val="00A84B7C"/>
    <w:rsid w:val="00A9170C"/>
    <w:rsid w:val="00AA03B5"/>
    <w:rsid w:val="00AA527F"/>
    <w:rsid w:val="00AC186F"/>
    <w:rsid w:val="00AD085A"/>
    <w:rsid w:val="00AF7EB3"/>
    <w:rsid w:val="00B01F73"/>
    <w:rsid w:val="00B21F73"/>
    <w:rsid w:val="00B451DA"/>
    <w:rsid w:val="00B46247"/>
    <w:rsid w:val="00B526D1"/>
    <w:rsid w:val="00B53930"/>
    <w:rsid w:val="00B5755B"/>
    <w:rsid w:val="00B637F4"/>
    <w:rsid w:val="00B70819"/>
    <w:rsid w:val="00B725A6"/>
    <w:rsid w:val="00B72C0A"/>
    <w:rsid w:val="00B768AA"/>
    <w:rsid w:val="00B95021"/>
    <w:rsid w:val="00B96E71"/>
    <w:rsid w:val="00BA3420"/>
    <w:rsid w:val="00BA4A91"/>
    <w:rsid w:val="00BB6018"/>
    <w:rsid w:val="00BD3CBD"/>
    <w:rsid w:val="00BD77AA"/>
    <w:rsid w:val="00BE5913"/>
    <w:rsid w:val="00C15819"/>
    <w:rsid w:val="00C169FF"/>
    <w:rsid w:val="00C22C65"/>
    <w:rsid w:val="00C25D9E"/>
    <w:rsid w:val="00C37266"/>
    <w:rsid w:val="00C41206"/>
    <w:rsid w:val="00C50B91"/>
    <w:rsid w:val="00C5116C"/>
    <w:rsid w:val="00C62B7E"/>
    <w:rsid w:val="00C70D02"/>
    <w:rsid w:val="00C7672C"/>
    <w:rsid w:val="00C82F32"/>
    <w:rsid w:val="00C85245"/>
    <w:rsid w:val="00C90196"/>
    <w:rsid w:val="00C91E7C"/>
    <w:rsid w:val="00C94588"/>
    <w:rsid w:val="00C97612"/>
    <w:rsid w:val="00C97EF9"/>
    <w:rsid w:val="00CA2D6B"/>
    <w:rsid w:val="00CA72C2"/>
    <w:rsid w:val="00CB6796"/>
    <w:rsid w:val="00CC56B9"/>
    <w:rsid w:val="00CC5FE3"/>
    <w:rsid w:val="00CD4AB0"/>
    <w:rsid w:val="00CE006F"/>
    <w:rsid w:val="00CE3E7F"/>
    <w:rsid w:val="00CE4A9A"/>
    <w:rsid w:val="00CE58BE"/>
    <w:rsid w:val="00CF00E1"/>
    <w:rsid w:val="00CF2B11"/>
    <w:rsid w:val="00CF773D"/>
    <w:rsid w:val="00D06DE9"/>
    <w:rsid w:val="00D079C4"/>
    <w:rsid w:val="00D11E5C"/>
    <w:rsid w:val="00D1202A"/>
    <w:rsid w:val="00D15711"/>
    <w:rsid w:val="00D1716B"/>
    <w:rsid w:val="00D37DB0"/>
    <w:rsid w:val="00D4551F"/>
    <w:rsid w:val="00D60144"/>
    <w:rsid w:val="00D7028B"/>
    <w:rsid w:val="00D82442"/>
    <w:rsid w:val="00D872FD"/>
    <w:rsid w:val="00D9475F"/>
    <w:rsid w:val="00D94A59"/>
    <w:rsid w:val="00DA1AF5"/>
    <w:rsid w:val="00DA3439"/>
    <w:rsid w:val="00DB7CDF"/>
    <w:rsid w:val="00DD63C6"/>
    <w:rsid w:val="00DE256D"/>
    <w:rsid w:val="00DE7906"/>
    <w:rsid w:val="00DF46AA"/>
    <w:rsid w:val="00E10772"/>
    <w:rsid w:val="00E17F4F"/>
    <w:rsid w:val="00E214B3"/>
    <w:rsid w:val="00E42472"/>
    <w:rsid w:val="00E56C1F"/>
    <w:rsid w:val="00E60EFF"/>
    <w:rsid w:val="00E65023"/>
    <w:rsid w:val="00E73DBD"/>
    <w:rsid w:val="00E7628E"/>
    <w:rsid w:val="00EA25E7"/>
    <w:rsid w:val="00EA5868"/>
    <w:rsid w:val="00EA7C54"/>
    <w:rsid w:val="00EB5162"/>
    <w:rsid w:val="00EB6FC6"/>
    <w:rsid w:val="00EC2ABA"/>
    <w:rsid w:val="00EC4A59"/>
    <w:rsid w:val="00EF2EC1"/>
    <w:rsid w:val="00F24FAD"/>
    <w:rsid w:val="00F32FFD"/>
    <w:rsid w:val="00F507D9"/>
    <w:rsid w:val="00F57FD7"/>
    <w:rsid w:val="00F676EE"/>
    <w:rsid w:val="00F7237B"/>
    <w:rsid w:val="00F74634"/>
    <w:rsid w:val="00F77C85"/>
    <w:rsid w:val="00F84EB9"/>
    <w:rsid w:val="00FB2A3C"/>
    <w:rsid w:val="00FB4327"/>
    <w:rsid w:val="00FB564F"/>
    <w:rsid w:val="00FC5E1B"/>
    <w:rsid w:val="00FE0302"/>
    <w:rsid w:val="00FE0EDA"/>
    <w:rsid w:val="00FE2186"/>
    <w:rsid w:val="00FF1510"/>
    <w:rsid w:val="00FF70AC"/>
    <w:rsid w:val="00FF71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4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style>
  <w:style w:type="character" w:styleId="Hyperlink">
    <w:name w:val="Hyperlink"/>
    <w:basedOn w:val="DefaultParagraphFont"/>
    <w:uiPriority w:val="99"/>
    <w:unhideWhenUsed/>
    <w:rsid w:val="00845B86"/>
    <w:rPr>
      <w:color w:val="0563C1" w:themeColor="hyperlink"/>
      <w:u w:val="single"/>
    </w:rPr>
  </w:style>
  <w:style w:type="character" w:styleId="UnresolvedMention">
    <w:name w:val="Unresolved Mention"/>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customStyle="1" w:styleId="InternetLink">
    <w:name w:val="Internet Link"/>
    <w:basedOn w:val="DefaultParagraphFont"/>
    <w:uiPriority w:val="99"/>
    <w:unhideWhenUsed/>
    <w:rsid w:val="00F676EE"/>
    <w:rPr>
      <w:color w:val="623F8D"/>
      <w:u w:val="single"/>
    </w:rPr>
  </w:style>
  <w:style w:type="character" w:customStyle="1" w:styleId="course-name1">
    <w:name w:val="course-name1"/>
    <w:basedOn w:val="DefaultParagraphFont"/>
    <w:qFormat/>
    <w:rsid w:val="00F676EE"/>
    <w:rPr>
      <w:rFonts w:ascii="Arial" w:hAnsi="Arial" w:cs="Arial"/>
      <w:i w:val="0"/>
      <w:iCs w:val="0"/>
      <w:sz w:val="18"/>
      <w:szCs w:val="18"/>
    </w:rPr>
  </w:style>
  <w:style w:type="paragraph" w:styleId="NormalWeb">
    <w:name w:val="Normal (Web)"/>
    <w:basedOn w:val="Normal"/>
    <w:uiPriority w:val="99"/>
    <w:semiHidden/>
    <w:unhideWhenUsed/>
    <w:rsid w:val="005E181F"/>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681351150">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mozilla.org/en-CA/" TargetMode="External"/><Relationship Id="rId18" Type="http://schemas.openxmlformats.org/officeDocument/2006/relationships/image" Target="media/image9.pn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www.turnitin.com" TargetMode="External"/><Relationship Id="rId7" Type="http://schemas.openxmlformats.org/officeDocument/2006/relationships/image" Target="media/image3.png"/><Relationship Id="rId12" Type="http://schemas.openxmlformats.org/officeDocument/2006/relationships/hyperlink" Target="https://www.google.ca/chrome/?brand=CHBD&amp;gclid=CjwKCAjwxLH3BRApEiwAqX9arfg8JaH6fWGASk9bHTkfW_dyBir93A1-TliP-7u1Kguf-WZsoGAPhBoC9NYQAvD_BwE&amp;gclsrc=aw.ds" TargetMode="Externa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kaggle.com/cod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ts.uwo.ca/helpdesk/"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https://www.uwo.ca/univsec/pdf/board/code.pdf" TargetMode="External"/><Relationship Id="rId28" Type="http://schemas.openxmlformats.org/officeDocument/2006/relationships/customXml" Target="../customXml/item3.xml"/><Relationship Id="rId10" Type="http://schemas.openxmlformats.org/officeDocument/2006/relationships/hyperlink" Target="https://owlhelp.uwo.ca/students/index.html" TargetMode="External"/><Relationship Id="rId19" Type="http://schemas.openxmlformats.org/officeDocument/2006/relationships/hyperlink" Target="https://colab.research.google.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google.com/search?q=internet+speed+test+google&amp;rlz=1C5CHFA_enCA702CA702&amp;oq=internet+speed+test+google&amp;aqs=chrome..69i57j0l7.3608j0j4&amp;sourceid=chrome&amp;ie=UTF-8" TargetMode="External"/><Relationship Id="rId22" Type="http://schemas.openxmlformats.org/officeDocument/2006/relationships/image" Target="media/image10.png"/><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9401BECCC6D4B81259F0286E1BA79" ma:contentTypeVersion="9" ma:contentTypeDescription="Create a new document." ma:contentTypeScope="" ma:versionID="2dac7db97db11b1b45e5f57e91ec2853">
  <xsd:schema xmlns:xsd="http://www.w3.org/2001/XMLSchema" xmlns:xs="http://www.w3.org/2001/XMLSchema" xmlns:p="http://schemas.microsoft.com/office/2006/metadata/properties" xmlns:ns2="c8ebdfbf-baf2-4a4d-b685-eee92932ce7a" xmlns:ns3="23906d32-2f24-42cf-8652-7d3b7830ee97" targetNamespace="http://schemas.microsoft.com/office/2006/metadata/properties" ma:root="true" ma:fieldsID="39b98914b23741d34bad56e3a0d57eb7" ns2:_="" ns3:_="">
    <xsd:import namespace="c8ebdfbf-baf2-4a4d-b685-eee92932ce7a"/>
    <xsd:import namespace="23906d32-2f24-42cf-8652-7d3b7830e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fbf-baf2-4a4d-b685-eee9293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06d32-2f24-42cf-8652-7d3b7830ee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39B01-AACD-4D96-BC6A-8332F6B6C4E8}"/>
</file>

<file path=customXml/itemProps2.xml><?xml version="1.0" encoding="utf-8"?>
<ds:datastoreItem xmlns:ds="http://schemas.openxmlformats.org/officeDocument/2006/customXml" ds:itemID="{606F6F19-7DEE-4EEE-A9FD-D06488CD5B39}"/>
</file>

<file path=customXml/itemProps3.xml><?xml version="1.0" encoding="utf-8"?>
<ds:datastoreItem xmlns:ds="http://schemas.openxmlformats.org/officeDocument/2006/customXml" ds:itemID="{EA097C8A-460B-40D6-8398-5138B0164700}"/>
</file>

<file path=docProps/app.xml><?xml version="1.0" encoding="utf-8"?>
<Properties xmlns="http://schemas.openxmlformats.org/officeDocument/2006/extended-properties" xmlns:vt="http://schemas.openxmlformats.org/officeDocument/2006/docPropsVTypes">
  <Template>Normal.dotm</Template>
  <TotalTime>138</TotalTime>
  <Pages>8</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Barboza Dale Abib</cp:lastModifiedBy>
  <cp:revision>87</cp:revision>
  <cp:lastPrinted>2023-01-04T21:10:00Z</cp:lastPrinted>
  <dcterms:created xsi:type="dcterms:W3CDTF">2021-08-13T19:51:00Z</dcterms:created>
  <dcterms:modified xsi:type="dcterms:W3CDTF">2023-12-22T15:05:00Z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0x0101008409401BECCC6D4B81259F0286E1BA79</vt:lpwstr>
  </property>
</Properties>
</file>