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09"/>
        <w:tblW w:w="12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2066"/>
        <w:gridCol w:w="236"/>
        <w:gridCol w:w="1841"/>
        <w:gridCol w:w="2246"/>
        <w:gridCol w:w="318"/>
        <w:gridCol w:w="3546"/>
      </w:tblGrid>
      <w:tr w:rsidR="00634C5D" w14:paraId="2CD3A745" w14:textId="77777777" w:rsidTr="007D455F">
        <w:trPr>
          <w:cantSplit/>
          <w:trHeight w:val="4674"/>
        </w:trPr>
        <w:tc>
          <w:tcPr>
            <w:tcW w:w="4118" w:type="dxa"/>
            <w:gridSpan w:val="2"/>
            <w:tcBorders>
              <w:top w:val="nil"/>
              <w:left w:val="nil"/>
              <w:bottom w:val="nil"/>
              <w:right w:val="nil"/>
            </w:tcBorders>
            <w:shd w:val="clear" w:color="auto" w:fill="FFFFFF" w:themeFill="background1"/>
            <w:textDirection w:val="btLr"/>
          </w:tcPr>
          <w:p w14:paraId="75F04E81" w14:textId="77777777" w:rsidR="003F3FD4" w:rsidRPr="0098060A" w:rsidRDefault="003F3FD4" w:rsidP="003F3FD4">
            <w:pPr>
              <w:rPr>
                <w:color w:val="FFFFFF" w:themeColor="background1"/>
                <w:sz w:val="36"/>
                <w:szCs w:val="36"/>
              </w:rPr>
            </w:pPr>
            <w:r>
              <w:rPr>
                <w:noProof/>
                <w:color w:val="FFFFFF" w:themeColor="background1"/>
                <w:sz w:val="36"/>
                <w:szCs w:val="36"/>
                <w:lang w:val="en-US"/>
              </w:rPr>
              <w:drawing>
                <wp:inline distT="0" distB="0" distL="0" distR="0" wp14:anchorId="662F931B" wp14:editId="4A2B56B0">
                  <wp:extent cx="3460115" cy="2363240"/>
                  <wp:effectExtent l="0" t="381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iera-dellitalia.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3477921" cy="2375401"/>
                          </a:xfrm>
                          <a:prstGeom prst="rect">
                            <a:avLst/>
                          </a:prstGeom>
                        </pic:spPr>
                      </pic:pic>
                    </a:graphicData>
                  </a:graphic>
                </wp:inline>
              </w:drawing>
            </w:r>
          </w:p>
        </w:tc>
        <w:tc>
          <w:tcPr>
            <w:tcW w:w="236" w:type="dxa"/>
            <w:tcBorders>
              <w:top w:val="nil"/>
              <w:left w:val="nil"/>
              <w:bottom w:val="nil"/>
              <w:right w:val="nil"/>
            </w:tcBorders>
          </w:tcPr>
          <w:p w14:paraId="1F009198" w14:textId="77777777" w:rsidR="003F3FD4" w:rsidRDefault="003F3FD4" w:rsidP="003F3FD4"/>
        </w:tc>
        <w:tc>
          <w:tcPr>
            <w:tcW w:w="7951" w:type="dxa"/>
            <w:gridSpan w:val="4"/>
            <w:tcBorders>
              <w:top w:val="nil"/>
              <w:left w:val="nil"/>
              <w:bottom w:val="nil"/>
              <w:right w:val="nil"/>
            </w:tcBorders>
          </w:tcPr>
          <w:p w14:paraId="73DE28E4" w14:textId="77777777" w:rsidR="003F3FD4" w:rsidRDefault="003F3FD4" w:rsidP="003F3FD4">
            <w:r>
              <w:rPr>
                <w:noProof/>
                <w:lang w:val="en-US"/>
              </w:rPr>
              <w:drawing>
                <wp:inline distT="0" distB="0" distL="0" distR="0" wp14:anchorId="7BA97CA5" wp14:editId="301FB68F">
                  <wp:extent cx="4787900" cy="3523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9">
                            <a:extLst>
                              <a:ext uri="{28A0092B-C50C-407E-A947-70E740481C1C}">
                                <a14:useLocalDpi xmlns:a14="http://schemas.microsoft.com/office/drawing/2010/main" val="0"/>
                              </a:ext>
                            </a:extLst>
                          </a:blip>
                          <a:stretch>
                            <a:fillRect/>
                          </a:stretch>
                        </pic:blipFill>
                        <pic:spPr>
                          <a:xfrm>
                            <a:off x="0" y="0"/>
                            <a:ext cx="4796421" cy="3529886"/>
                          </a:xfrm>
                          <a:prstGeom prst="rect">
                            <a:avLst/>
                          </a:prstGeom>
                        </pic:spPr>
                      </pic:pic>
                    </a:graphicData>
                  </a:graphic>
                </wp:inline>
              </w:drawing>
            </w:r>
          </w:p>
        </w:tc>
      </w:tr>
      <w:tr w:rsidR="00634C5D" w14:paraId="4AE3F95F" w14:textId="77777777" w:rsidTr="007D455F">
        <w:trPr>
          <w:trHeight w:val="5791"/>
        </w:trPr>
        <w:tc>
          <w:tcPr>
            <w:tcW w:w="4118" w:type="dxa"/>
            <w:gridSpan w:val="2"/>
            <w:tcBorders>
              <w:top w:val="nil"/>
              <w:left w:val="nil"/>
              <w:bottom w:val="nil"/>
              <w:right w:val="nil"/>
            </w:tcBorders>
          </w:tcPr>
          <w:p w14:paraId="4EC4C008" w14:textId="77777777" w:rsidR="0084677D" w:rsidRPr="0084677D" w:rsidRDefault="0084677D" w:rsidP="0084677D">
            <w:pPr>
              <w:jc w:val="center"/>
              <w:rPr>
                <w:b/>
                <w:i/>
                <w:color w:val="002060"/>
                <w:sz w:val="28"/>
              </w:rPr>
            </w:pPr>
            <w:r w:rsidRPr="0084677D">
              <w:rPr>
                <w:b/>
                <w:i/>
                <w:color w:val="002060"/>
                <w:sz w:val="28"/>
              </w:rPr>
              <w:t>Italian 1030</w:t>
            </w:r>
          </w:p>
          <w:p w14:paraId="6D07D50F" w14:textId="77777777" w:rsidR="0084677D" w:rsidRPr="0084677D" w:rsidRDefault="0084677D" w:rsidP="0084677D">
            <w:pPr>
              <w:jc w:val="center"/>
              <w:rPr>
                <w:b/>
                <w:i/>
                <w:color w:val="002060"/>
                <w:sz w:val="28"/>
              </w:rPr>
            </w:pPr>
            <w:r w:rsidRPr="0084677D">
              <w:rPr>
                <w:b/>
                <w:i/>
                <w:color w:val="002060"/>
                <w:sz w:val="28"/>
              </w:rPr>
              <w:t>Italian for Beginners</w:t>
            </w:r>
          </w:p>
          <w:p w14:paraId="60859EB4" w14:textId="347CBB4B" w:rsidR="0084677D" w:rsidRDefault="001F6EC9" w:rsidP="0084677D">
            <w:pPr>
              <w:jc w:val="center"/>
              <w:rPr>
                <w:b/>
                <w:i/>
                <w:color w:val="002060"/>
                <w:sz w:val="28"/>
              </w:rPr>
            </w:pPr>
            <w:r>
              <w:rPr>
                <w:b/>
                <w:i/>
                <w:color w:val="002060"/>
                <w:sz w:val="28"/>
              </w:rPr>
              <w:t>20</w:t>
            </w:r>
            <w:r w:rsidR="007C4461">
              <w:rPr>
                <w:b/>
                <w:i/>
                <w:color w:val="002060"/>
                <w:sz w:val="28"/>
              </w:rPr>
              <w:t>2</w:t>
            </w:r>
            <w:r w:rsidR="00D25F91">
              <w:rPr>
                <w:b/>
                <w:i/>
                <w:color w:val="002060"/>
                <w:sz w:val="28"/>
              </w:rPr>
              <w:t>2</w:t>
            </w:r>
            <w:r>
              <w:rPr>
                <w:b/>
                <w:i/>
                <w:color w:val="002060"/>
                <w:sz w:val="28"/>
              </w:rPr>
              <w:t>-20</w:t>
            </w:r>
            <w:r w:rsidR="00BC653C">
              <w:rPr>
                <w:b/>
                <w:i/>
                <w:color w:val="002060"/>
                <w:sz w:val="28"/>
              </w:rPr>
              <w:t>2</w:t>
            </w:r>
            <w:r w:rsidR="00D25F91">
              <w:rPr>
                <w:b/>
                <w:i/>
                <w:color w:val="002060"/>
                <w:sz w:val="28"/>
              </w:rPr>
              <w:t>3</w:t>
            </w:r>
          </w:p>
          <w:p w14:paraId="302A03D7" w14:textId="0DA571CA" w:rsidR="004706E1" w:rsidRPr="004706E1" w:rsidRDefault="004706E1" w:rsidP="0084677D">
            <w:pPr>
              <w:jc w:val="center"/>
              <w:rPr>
                <w:b/>
                <w:i/>
                <w:color w:val="FF0000"/>
                <w:sz w:val="28"/>
              </w:rPr>
            </w:pPr>
            <w:r w:rsidRPr="004706E1">
              <w:rPr>
                <w:b/>
                <w:i/>
                <w:color w:val="FF0000"/>
                <w:sz w:val="28"/>
              </w:rPr>
              <w:t xml:space="preserve">Please note: this </w:t>
            </w:r>
            <w:r w:rsidR="00621639">
              <w:rPr>
                <w:b/>
                <w:i/>
                <w:color w:val="FF0000"/>
                <w:sz w:val="28"/>
              </w:rPr>
              <w:t>syllabus is provisional and subject to change</w:t>
            </w:r>
          </w:p>
          <w:p w14:paraId="01263BC8" w14:textId="77777777" w:rsidR="00811276" w:rsidRDefault="00811276" w:rsidP="003F3FD4">
            <w:pPr>
              <w:rPr>
                <w:b/>
                <w:color w:val="002060"/>
              </w:rPr>
            </w:pPr>
          </w:p>
          <w:p w14:paraId="32D019B6" w14:textId="77777777" w:rsidR="003F3FD4" w:rsidRPr="004E676F" w:rsidRDefault="003F3FD4" w:rsidP="003F3FD4">
            <w:pPr>
              <w:rPr>
                <w:b/>
                <w:color w:val="002060"/>
              </w:rPr>
            </w:pPr>
            <w:proofErr w:type="spellStart"/>
            <w:r w:rsidRPr="004E676F">
              <w:rPr>
                <w:b/>
                <w:color w:val="002060"/>
              </w:rPr>
              <w:t>Benvenuti</w:t>
            </w:r>
            <w:proofErr w:type="spellEnd"/>
            <w:r w:rsidRPr="004E676F">
              <w:rPr>
                <w:b/>
                <w:color w:val="002060"/>
              </w:rPr>
              <w:t xml:space="preserve">! Welcome to Italian 1030 - Italian for Beginners! </w:t>
            </w:r>
          </w:p>
          <w:p w14:paraId="74771B7B" w14:textId="77777777" w:rsidR="003F3FD4" w:rsidRPr="004E676F" w:rsidRDefault="003F3FD4" w:rsidP="003F3FD4">
            <w:pPr>
              <w:jc w:val="left"/>
            </w:pPr>
          </w:p>
          <w:p w14:paraId="18662427" w14:textId="6582AD4C" w:rsidR="003F3FD4" w:rsidRPr="004E676F" w:rsidRDefault="003F3FD4" w:rsidP="003F3FD4">
            <w:pPr>
              <w:jc w:val="left"/>
            </w:pPr>
            <w:r w:rsidRPr="004E676F">
              <w:t xml:space="preserve">This course is designed for students with little or no previous knowledge of Italian. </w:t>
            </w:r>
            <w:r w:rsidR="00376306">
              <w:t xml:space="preserve">It provides </w:t>
            </w:r>
            <w:r w:rsidR="00376306">
              <w:rPr>
                <w:iCs/>
              </w:rPr>
              <w:t>a dynamic introduction to</w:t>
            </w:r>
            <w:r w:rsidRPr="004E676F">
              <w:rPr>
                <w:iCs/>
              </w:rPr>
              <w:t xml:space="preserve"> the Italian language and culture that blends traditional classroom interaction and online a</w:t>
            </w:r>
            <w:r w:rsidR="009D7A97">
              <w:rPr>
                <w:iCs/>
              </w:rPr>
              <w:t>ssignments</w:t>
            </w:r>
            <w:r w:rsidRPr="004E676F">
              <w:rPr>
                <w:iCs/>
              </w:rPr>
              <w:t xml:space="preserve">. Students are provided with immediate online feedback and engage in active learning to acquire beginners’ communicative skills by </w:t>
            </w:r>
            <w:r w:rsidRPr="004E676F">
              <w:rPr>
                <w:rFonts w:eastAsia="Times New Roman"/>
                <w:iCs/>
              </w:rPr>
              <w:t xml:space="preserve">collaborating in </w:t>
            </w:r>
            <w:r w:rsidR="00376306">
              <w:rPr>
                <w:rFonts w:eastAsia="Times New Roman"/>
                <w:iCs/>
              </w:rPr>
              <w:t xml:space="preserve">a </w:t>
            </w:r>
            <w:r w:rsidRPr="004E676F">
              <w:rPr>
                <w:rFonts w:eastAsia="Times New Roman"/>
                <w:iCs/>
              </w:rPr>
              <w:t xml:space="preserve">positive, constructive manner. </w:t>
            </w:r>
            <w:r w:rsidR="009D7A97">
              <w:rPr>
                <w:rFonts w:eastAsia="Times New Roman"/>
                <w:iCs/>
              </w:rPr>
              <w:t>They</w:t>
            </w:r>
            <w:r w:rsidR="009D7A97">
              <w:t xml:space="preserve"> </w:t>
            </w:r>
            <w:r w:rsidR="00D25F91">
              <w:t xml:space="preserve">are </w:t>
            </w:r>
            <w:r w:rsidR="009D7A97">
              <w:t>immersed in</w:t>
            </w:r>
            <w:r w:rsidRPr="004E676F">
              <w:t xml:space="preserve"> the standard Italian language in a</w:t>
            </w:r>
            <w:r w:rsidR="009D7A97">
              <w:t xml:space="preserve"> participatory</w:t>
            </w:r>
            <w:r w:rsidRPr="004E676F">
              <w:t xml:space="preserve"> and practical way</w:t>
            </w:r>
            <w:r w:rsidR="00D25F91">
              <w:t>.</w:t>
            </w:r>
          </w:p>
          <w:p w14:paraId="21859B9A" w14:textId="77777777" w:rsidR="003F3FD4" w:rsidRPr="004E676F" w:rsidRDefault="003F3FD4" w:rsidP="003F3FD4">
            <w:pPr>
              <w:spacing w:before="40"/>
              <w:jc w:val="left"/>
            </w:pPr>
          </w:p>
          <w:p w14:paraId="1DAF1599" w14:textId="77777777" w:rsidR="003F3FD4" w:rsidRPr="003A1E82" w:rsidRDefault="003F3FD4" w:rsidP="003A1E82">
            <w:pPr>
              <w:tabs>
                <w:tab w:val="left" w:pos="990"/>
              </w:tabs>
              <w:spacing w:before="80"/>
              <w:jc w:val="left"/>
              <w:rPr>
                <w:b/>
                <w:color w:val="002060"/>
                <w:sz w:val="22"/>
              </w:rPr>
            </w:pPr>
            <w:r w:rsidRPr="003A1E82">
              <w:rPr>
                <w:b/>
                <w:color w:val="002060"/>
                <w:sz w:val="22"/>
              </w:rPr>
              <w:t>Please read this syllabus carefully and refer to it regularly for very important information related to the course.</w:t>
            </w:r>
          </w:p>
          <w:p w14:paraId="60DC6054" w14:textId="77777777" w:rsidR="003F3FD4" w:rsidRPr="004E676F" w:rsidRDefault="003F3FD4" w:rsidP="003F3FD4">
            <w:pPr>
              <w:rPr>
                <w:rFonts w:ascii="HP Simplified" w:hAnsi="HP Simplified"/>
              </w:rPr>
            </w:pPr>
          </w:p>
        </w:tc>
        <w:tc>
          <w:tcPr>
            <w:tcW w:w="236" w:type="dxa"/>
            <w:tcBorders>
              <w:top w:val="nil"/>
              <w:left w:val="nil"/>
              <w:bottom w:val="nil"/>
              <w:right w:val="nil"/>
            </w:tcBorders>
          </w:tcPr>
          <w:p w14:paraId="016856E1" w14:textId="77777777" w:rsidR="003F3FD4" w:rsidRPr="004E676F" w:rsidRDefault="003F3FD4" w:rsidP="003F3FD4"/>
        </w:tc>
        <w:tc>
          <w:tcPr>
            <w:tcW w:w="4087" w:type="dxa"/>
            <w:gridSpan w:val="2"/>
            <w:tcBorders>
              <w:top w:val="nil"/>
              <w:left w:val="nil"/>
              <w:bottom w:val="nil"/>
              <w:right w:val="nil"/>
            </w:tcBorders>
          </w:tcPr>
          <w:p w14:paraId="1AD9997B" w14:textId="77777777" w:rsidR="00811276" w:rsidRDefault="00811276" w:rsidP="003A1E82">
            <w:pPr>
              <w:tabs>
                <w:tab w:val="left" w:pos="990"/>
              </w:tabs>
              <w:spacing w:before="80"/>
              <w:jc w:val="left"/>
              <w:rPr>
                <w:rFonts w:cs="Helvetica"/>
                <w:b/>
                <w:color w:val="002060"/>
              </w:rPr>
            </w:pPr>
          </w:p>
          <w:p w14:paraId="28E1CFD0" w14:textId="77777777" w:rsidR="00811276" w:rsidRDefault="00811276" w:rsidP="003A1E82">
            <w:pPr>
              <w:tabs>
                <w:tab w:val="left" w:pos="990"/>
              </w:tabs>
              <w:spacing w:before="80"/>
              <w:jc w:val="left"/>
              <w:rPr>
                <w:rFonts w:cs="Helvetica"/>
                <w:b/>
                <w:color w:val="002060"/>
              </w:rPr>
            </w:pPr>
          </w:p>
          <w:p w14:paraId="79EE3284" w14:textId="77777777" w:rsidR="00CD2D8B" w:rsidRPr="004E676F" w:rsidRDefault="00CD2D8B" w:rsidP="003A1E82">
            <w:pPr>
              <w:tabs>
                <w:tab w:val="left" w:pos="990"/>
              </w:tabs>
              <w:spacing w:before="80"/>
              <w:jc w:val="left"/>
              <w:rPr>
                <w:rFonts w:cs="Helvetica"/>
                <w:b/>
                <w:color w:val="002060"/>
              </w:rPr>
            </w:pPr>
            <w:r w:rsidRPr="004E676F">
              <w:rPr>
                <w:rFonts w:cs="Helvetica"/>
                <w:b/>
                <w:color w:val="002060"/>
              </w:rPr>
              <w:t>Course Objectives</w:t>
            </w:r>
          </w:p>
          <w:p w14:paraId="4214F33E" w14:textId="77777777" w:rsidR="00CD2D8B" w:rsidRPr="004E676F" w:rsidRDefault="00CD2D8B" w:rsidP="003A1E82">
            <w:pPr>
              <w:numPr>
                <w:ilvl w:val="0"/>
                <w:numId w:val="1"/>
              </w:numPr>
              <w:jc w:val="left"/>
              <w:rPr>
                <w:rFonts w:cs="Helvetica"/>
              </w:rPr>
            </w:pPr>
            <w:r w:rsidRPr="004E676F">
              <w:rPr>
                <w:rFonts w:cs="Helvetica"/>
              </w:rPr>
              <w:t>to develop the ability to understand, speak, read, and write basic Italian</w:t>
            </w:r>
          </w:p>
          <w:p w14:paraId="38C4685E" w14:textId="77777777" w:rsidR="00CD2D8B" w:rsidRPr="004E676F" w:rsidRDefault="00CD2D8B" w:rsidP="003A1E82">
            <w:pPr>
              <w:numPr>
                <w:ilvl w:val="0"/>
                <w:numId w:val="1"/>
              </w:numPr>
              <w:jc w:val="left"/>
              <w:rPr>
                <w:rFonts w:cs="Helvetica"/>
              </w:rPr>
            </w:pPr>
            <w:r w:rsidRPr="004E676F">
              <w:rPr>
                <w:rFonts w:cs="Helvetica"/>
              </w:rPr>
              <w:t>to provide students with the understanding of elementary grammatical structures</w:t>
            </w:r>
          </w:p>
          <w:p w14:paraId="61E4A5A1" w14:textId="77777777" w:rsidR="00CD2D8B" w:rsidRPr="004E676F" w:rsidRDefault="00CD2D8B" w:rsidP="003A1E82">
            <w:pPr>
              <w:numPr>
                <w:ilvl w:val="0"/>
                <w:numId w:val="1"/>
              </w:numPr>
              <w:jc w:val="left"/>
              <w:rPr>
                <w:rFonts w:cs="Helvetica"/>
              </w:rPr>
            </w:pPr>
            <w:r w:rsidRPr="004E676F">
              <w:rPr>
                <w:rFonts w:cs="Helvetica"/>
              </w:rPr>
              <w:t>to enable students to express themselves in different cultural contexts</w:t>
            </w:r>
          </w:p>
          <w:p w14:paraId="1BB2F645" w14:textId="77777777" w:rsidR="00CD2D8B" w:rsidRPr="004E676F" w:rsidRDefault="00CD2D8B" w:rsidP="003A1E82">
            <w:pPr>
              <w:numPr>
                <w:ilvl w:val="0"/>
                <w:numId w:val="1"/>
              </w:numPr>
              <w:jc w:val="left"/>
            </w:pPr>
            <w:r w:rsidRPr="004E676F">
              <w:t>to build solid foundations for progression to Italian 2200 as well as for other Italian courses/modules in the Italian program at Western</w:t>
            </w:r>
          </w:p>
          <w:p w14:paraId="269F297D" w14:textId="77777777" w:rsidR="00EF2F34" w:rsidRDefault="00CD2D8B" w:rsidP="003A1E82">
            <w:pPr>
              <w:numPr>
                <w:ilvl w:val="0"/>
                <w:numId w:val="1"/>
              </w:numPr>
              <w:jc w:val="left"/>
              <w:rPr>
                <w:rFonts w:cs="Helvetica"/>
              </w:rPr>
            </w:pPr>
            <w:r w:rsidRPr="004E676F">
              <w:rPr>
                <w:rFonts w:cs="Helvetica"/>
              </w:rPr>
              <w:t xml:space="preserve">to enable students to build a strong basis for learning outside the classroom </w:t>
            </w:r>
          </w:p>
          <w:p w14:paraId="3B9E744E" w14:textId="56AC2F4B" w:rsidR="00CD2D8B" w:rsidRPr="004E676F" w:rsidRDefault="00CD2D8B" w:rsidP="003A1E82">
            <w:pPr>
              <w:numPr>
                <w:ilvl w:val="0"/>
                <w:numId w:val="1"/>
              </w:numPr>
              <w:jc w:val="left"/>
              <w:rPr>
                <w:rFonts w:cs="Helvetica"/>
              </w:rPr>
            </w:pPr>
            <w:r w:rsidRPr="004E676F">
              <w:rPr>
                <w:rFonts w:cs="Helvetica"/>
              </w:rPr>
              <w:t>to collaborate and practice in class in a dynamic manner via interaction with their peers</w:t>
            </w:r>
          </w:p>
          <w:p w14:paraId="5AEDC9B5" w14:textId="77777777" w:rsidR="00EF2F34" w:rsidRDefault="00CD2D8B" w:rsidP="003A1E82">
            <w:pPr>
              <w:numPr>
                <w:ilvl w:val="0"/>
                <w:numId w:val="1"/>
              </w:numPr>
              <w:jc w:val="left"/>
            </w:pPr>
            <w:r w:rsidRPr="004E676F">
              <w:t xml:space="preserve">to encourage a positive attitude towards language learning and the exploring and understanding of different cultures </w:t>
            </w:r>
          </w:p>
          <w:p w14:paraId="48E0B9DD" w14:textId="0DE9BC69" w:rsidR="00CD2D8B" w:rsidRPr="004E676F" w:rsidRDefault="00CD2D8B" w:rsidP="003A1E82">
            <w:pPr>
              <w:numPr>
                <w:ilvl w:val="0"/>
                <w:numId w:val="1"/>
              </w:numPr>
              <w:jc w:val="left"/>
            </w:pPr>
            <w:r w:rsidRPr="004E676F">
              <w:t>to enhance students’ intercultural competence, regarding the Italian and the North American context, but not exclusively.</w:t>
            </w:r>
          </w:p>
          <w:p w14:paraId="704731D8" w14:textId="77777777" w:rsidR="003F3FD4" w:rsidRPr="004E676F" w:rsidRDefault="003F3FD4" w:rsidP="003A1E82">
            <w:pPr>
              <w:jc w:val="left"/>
            </w:pPr>
          </w:p>
        </w:tc>
        <w:tc>
          <w:tcPr>
            <w:tcW w:w="318" w:type="dxa"/>
            <w:tcBorders>
              <w:top w:val="nil"/>
              <w:left w:val="nil"/>
              <w:bottom w:val="nil"/>
              <w:right w:val="nil"/>
            </w:tcBorders>
          </w:tcPr>
          <w:p w14:paraId="76500E25" w14:textId="77777777" w:rsidR="003F3FD4" w:rsidRPr="004E676F" w:rsidRDefault="003F3FD4" w:rsidP="003A1E82">
            <w:pPr>
              <w:jc w:val="left"/>
            </w:pPr>
          </w:p>
        </w:tc>
        <w:tc>
          <w:tcPr>
            <w:tcW w:w="3546" w:type="dxa"/>
            <w:tcBorders>
              <w:top w:val="nil"/>
              <w:left w:val="nil"/>
              <w:bottom w:val="nil"/>
              <w:right w:val="nil"/>
            </w:tcBorders>
          </w:tcPr>
          <w:p w14:paraId="783BAA2F" w14:textId="77777777" w:rsidR="00811276" w:rsidRDefault="00811276" w:rsidP="003A1E82">
            <w:pPr>
              <w:jc w:val="left"/>
              <w:rPr>
                <w:b/>
                <w:color w:val="002060"/>
              </w:rPr>
            </w:pPr>
          </w:p>
          <w:p w14:paraId="23FCB9F2" w14:textId="77777777" w:rsidR="00811276" w:rsidRDefault="00811276" w:rsidP="003A1E82">
            <w:pPr>
              <w:jc w:val="left"/>
              <w:rPr>
                <w:b/>
                <w:color w:val="002060"/>
              </w:rPr>
            </w:pPr>
          </w:p>
          <w:p w14:paraId="31764FE8" w14:textId="77777777" w:rsidR="00811276" w:rsidRDefault="00811276" w:rsidP="003A1E82">
            <w:pPr>
              <w:jc w:val="left"/>
              <w:rPr>
                <w:b/>
                <w:color w:val="002060"/>
              </w:rPr>
            </w:pPr>
          </w:p>
          <w:p w14:paraId="22E44CB4" w14:textId="77777777" w:rsidR="00B646CF" w:rsidRPr="004E676F" w:rsidRDefault="00B646CF" w:rsidP="003A1E82">
            <w:pPr>
              <w:jc w:val="left"/>
              <w:rPr>
                <w:b/>
                <w:color w:val="002060"/>
              </w:rPr>
            </w:pPr>
            <w:r w:rsidRPr="004E676F">
              <w:rPr>
                <w:b/>
                <w:color w:val="002060"/>
              </w:rPr>
              <w:t>Learning Outcomes</w:t>
            </w:r>
          </w:p>
          <w:p w14:paraId="2B5F4B91" w14:textId="77777777" w:rsidR="00B646CF" w:rsidRPr="004E676F" w:rsidRDefault="00B646CF" w:rsidP="003A1E82">
            <w:pPr>
              <w:numPr>
                <w:ilvl w:val="0"/>
                <w:numId w:val="2"/>
              </w:numPr>
              <w:ind w:left="360"/>
              <w:jc w:val="left"/>
            </w:pPr>
            <w:r w:rsidRPr="004E676F">
              <w:t xml:space="preserve">to understand questions and short texts in the target language </w:t>
            </w:r>
          </w:p>
          <w:p w14:paraId="01E2B9AB" w14:textId="77777777" w:rsidR="00B646CF" w:rsidRPr="004E676F" w:rsidRDefault="00B646CF" w:rsidP="003A1E82">
            <w:pPr>
              <w:numPr>
                <w:ilvl w:val="0"/>
                <w:numId w:val="2"/>
              </w:numPr>
              <w:ind w:left="360"/>
              <w:jc w:val="left"/>
            </w:pPr>
            <w:r w:rsidRPr="004E676F">
              <w:t xml:space="preserve">to carry on basic conversations within the range of topics explored </w:t>
            </w:r>
          </w:p>
          <w:p w14:paraId="71F98D3D" w14:textId="77777777" w:rsidR="00B646CF" w:rsidRPr="004E676F" w:rsidRDefault="00B646CF" w:rsidP="003A1E82">
            <w:pPr>
              <w:numPr>
                <w:ilvl w:val="0"/>
                <w:numId w:val="2"/>
              </w:numPr>
              <w:ind w:left="360"/>
              <w:jc w:val="left"/>
            </w:pPr>
            <w:r w:rsidRPr="004E676F">
              <w:t xml:space="preserve">to read short passages dealing with contemporary social issues and daily life in Italy </w:t>
            </w:r>
          </w:p>
          <w:p w14:paraId="0DAC5F3E" w14:textId="77777777" w:rsidR="00B646CF" w:rsidRPr="004E676F" w:rsidRDefault="00B646CF" w:rsidP="003A1E82">
            <w:pPr>
              <w:numPr>
                <w:ilvl w:val="0"/>
                <w:numId w:val="2"/>
              </w:numPr>
              <w:ind w:left="360"/>
              <w:jc w:val="left"/>
            </w:pPr>
            <w:r w:rsidRPr="004E676F">
              <w:t>to create oral presentations and written texts on specific topics</w:t>
            </w:r>
          </w:p>
          <w:p w14:paraId="14D03355" w14:textId="499FF803" w:rsidR="00B646CF" w:rsidRPr="004E676F" w:rsidRDefault="00B646CF" w:rsidP="00EF2F34">
            <w:pPr>
              <w:numPr>
                <w:ilvl w:val="0"/>
                <w:numId w:val="2"/>
              </w:numPr>
              <w:ind w:left="360"/>
              <w:jc w:val="left"/>
            </w:pPr>
            <w:r w:rsidRPr="004E676F">
              <w:t xml:space="preserve">to master basic grammatical structures and use them actively in oral and written expression </w:t>
            </w:r>
          </w:p>
          <w:p w14:paraId="124DF1D0" w14:textId="3F91BB5E" w:rsidR="00B646CF" w:rsidRPr="004E676F" w:rsidRDefault="00B646CF" w:rsidP="003A1E82">
            <w:pPr>
              <w:numPr>
                <w:ilvl w:val="0"/>
                <w:numId w:val="2"/>
              </w:numPr>
              <w:ind w:left="360"/>
              <w:jc w:val="left"/>
            </w:pPr>
            <w:r w:rsidRPr="002710DE">
              <w:t xml:space="preserve">to </w:t>
            </w:r>
            <w:r w:rsidR="00BD2E61" w:rsidRPr="002710DE">
              <w:t>demonstrate</w:t>
            </w:r>
            <w:r w:rsidR="00EF2F34" w:rsidRPr="002710DE">
              <w:t xml:space="preserve"> </w:t>
            </w:r>
            <w:r w:rsidRPr="004E676F">
              <w:t>basic knowledge and understanding of Italian culture and appreciation of cultural similarities and differences in relation to specific values and communication styles</w:t>
            </w:r>
          </w:p>
          <w:p w14:paraId="5342794D" w14:textId="77777777" w:rsidR="003F3FD4" w:rsidRDefault="003F3FD4" w:rsidP="003A1E82">
            <w:pPr>
              <w:jc w:val="left"/>
            </w:pPr>
          </w:p>
          <w:p w14:paraId="3834566A" w14:textId="77777777" w:rsidR="00E60CC7" w:rsidRPr="004E676F" w:rsidRDefault="00E60CC7" w:rsidP="003A1E82">
            <w:pPr>
              <w:jc w:val="left"/>
            </w:pPr>
          </w:p>
        </w:tc>
      </w:tr>
      <w:tr w:rsidR="00634C5D" w14:paraId="197DD4E2" w14:textId="77777777" w:rsidTr="007D455F">
        <w:trPr>
          <w:trHeight w:val="1722"/>
        </w:trPr>
        <w:tc>
          <w:tcPr>
            <w:tcW w:w="2052" w:type="dxa"/>
            <w:tcBorders>
              <w:top w:val="nil"/>
              <w:left w:val="nil"/>
              <w:bottom w:val="nil"/>
              <w:right w:val="nil"/>
            </w:tcBorders>
            <w:shd w:val="clear" w:color="auto" w:fill="D9D9D9" w:themeFill="background1" w:themeFillShade="D9"/>
          </w:tcPr>
          <w:p w14:paraId="26E29BB0" w14:textId="77777777" w:rsidR="00E60CC7" w:rsidRDefault="00E60CC7" w:rsidP="003F3FD4">
            <w:pPr>
              <w:rPr>
                <w:color w:val="FFFF00"/>
              </w:rPr>
            </w:pPr>
          </w:p>
          <w:p w14:paraId="5E7B712C" w14:textId="77777777" w:rsidR="00E60CC7" w:rsidRPr="008C104A" w:rsidRDefault="00E60CC7" w:rsidP="003F3FD4">
            <w:pPr>
              <w:rPr>
                <w:b/>
                <w:color w:val="002060"/>
              </w:rPr>
            </w:pPr>
            <w:r w:rsidRPr="008C104A">
              <w:rPr>
                <w:b/>
                <w:color w:val="002060"/>
              </w:rPr>
              <w:t>COURSE</w:t>
            </w:r>
          </w:p>
          <w:p w14:paraId="40B194B4" w14:textId="77777777" w:rsidR="00E60CC7" w:rsidRPr="00E60CC7" w:rsidRDefault="00E60CC7" w:rsidP="003F3FD4">
            <w:pPr>
              <w:rPr>
                <w:b/>
                <w:color w:val="FFFF00"/>
              </w:rPr>
            </w:pPr>
            <w:r w:rsidRPr="008C104A">
              <w:rPr>
                <w:b/>
                <w:color w:val="002060"/>
              </w:rPr>
              <w:t>DETAILS</w:t>
            </w:r>
          </w:p>
        </w:tc>
        <w:tc>
          <w:tcPr>
            <w:tcW w:w="10253" w:type="dxa"/>
            <w:gridSpan w:val="6"/>
            <w:tcBorders>
              <w:top w:val="nil"/>
              <w:left w:val="nil"/>
              <w:bottom w:val="nil"/>
              <w:right w:val="nil"/>
            </w:tcBorders>
            <w:shd w:val="clear" w:color="auto" w:fill="D9D9D9" w:themeFill="background1" w:themeFillShade="D9"/>
          </w:tcPr>
          <w:p w14:paraId="05AB58E4" w14:textId="02D312C8" w:rsidR="00E60CC7" w:rsidRPr="00621639" w:rsidRDefault="006F12B6" w:rsidP="00E60CC7">
            <w:pPr>
              <w:jc w:val="left"/>
              <w:rPr>
                <w:sz w:val="22"/>
                <w:szCs w:val="22"/>
              </w:rPr>
            </w:pPr>
            <w:r w:rsidRPr="00621639">
              <w:rPr>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Textb</w:t>
            </w:r>
            <w:r w:rsidR="00621639">
              <w:rPr>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Pr="00621639">
              <w:rPr>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ok TBA</w:t>
            </w:r>
          </w:p>
        </w:tc>
      </w:tr>
      <w:tr w:rsidR="001B59C9" w:rsidRPr="004E676F" w14:paraId="622E975F" w14:textId="77777777" w:rsidTr="007D455F">
        <w:trPr>
          <w:trHeight w:val="2310"/>
        </w:trPr>
        <w:tc>
          <w:tcPr>
            <w:tcW w:w="6195" w:type="dxa"/>
            <w:gridSpan w:val="4"/>
            <w:vMerge w:val="restart"/>
            <w:tcBorders>
              <w:top w:val="nil"/>
              <w:left w:val="nil"/>
              <w:bottom w:val="nil"/>
              <w:right w:val="nil"/>
            </w:tcBorders>
          </w:tcPr>
          <w:p w14:paraId="0B5CA278" w14:textId="77777777" w:rsidR="001B59C9" w:rsidRPr="004E676F" w:rsidRDefault="001B59C9" w:rsidP="005A593B">
            <w:pPr>
              <w:tabs>
                <w:tab w:val="left" w:pos="990"/>
              </w:tabs>
              <w:spacing w:before="80"/>
              <w:rPr>
                <w:rFonts w:cs="Helvetica"/>
                <w:b/>
                <w:color w:val="002060"/>
              </w:rPr>
            </w:pPr>
            <w:r>
              <w:rPr>
                <w:rFonts w:cs="Helvetica"/>
                <w:b/>
                <w:noProof/>
                <w:color w:val="002060"/>
                <w:lang w:val="en-US"/>
              </w:rPr>
              <w:lastRenderedPageBreak/>
              <w:drawing>
                <wp:inline distT="0" distB="0" distL="0" distR="0" wp14:anchorId="4BAB6616" wp14:editId="3348C0B6">
                  <wp:extent cx="36576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6110" w:type="dxa"/>
            <w:gridSpan w:val="3"/>
            <w:tcBorders>
              <w:top w:val="nil"/>
              <w:left w:val="nil"/>
              <w:bottom w:val="nil"/>
              <w:right w:val="nil"/>
            </w:tcBorders>
          </w:tcPr>
          <w:p w14:paraId="1EFD4812" w14:textId="7879C725" w:rsidR="00376306" w:rsidRDefault="00376306" w:rsidP="001B59C9">
            <w:pPr>
              <w:rPr>
                <w:b/>
                <w:color w:val="002060"/>
              </w:rPr>
            </w:pPr>
            <w:r>
              <w:rPr>
                <w:b/>
                <w:color w:val="002060"/>
              </w:rPr>
              <w:t>Course delivery: 3 hours in class and 1 hour online</w:t>
            </w:r>
          </w:p>
          <w:p w14:paraId="48E246AB" w14:textId="77777777" w:rsidR="00376306" w:rsidRDefault="00376306" w:rsidP="001B59C9">
            <w:pPr>
              <w:rPr>
                <w:b/>
                <w:color w:val="002060"/>
              </w:rPr>
            </w:pPr>
          </w:p>
          <w:p w14:paraId="7BD18A31" w14:textId="75C2AFE1" w:rsidR="001B59C9" w:rsidRPr="001B59C9" w:rsidRDefault="001B59C9" w:rsidP="001B59C9">
            <w:pPr>
              <w:rPr>
                <w:b/>
                <w:color w:val="002060"/>
              </w:rPr>
            </w:pPr>
            <w:r w:rsidRPr="001B59C9">
              <w:rPr>
                <w:b/>
                <w:color w:val="002060"/>
              </w:rPr>
              <w:t>Method of Evaluation</w:t>
            </w:r>
          </w:p>
          <w:tbl>
            <w:tblPr>
              <w:tblpPr w:leftFromText="180" w:rightFromText="180" w:vertAnchor="text" w:horzAnchor="margin" w:tblpXSpec="right" w:tblpY="-178"/>
              <w:tblOverlap w:val="never"/>
              <w:tblW w:w="1053" w:type="pct"/>
              <w:tblCellSpacing w:w="10" w:type="dxa"/>
              <w:tblBorders>
                <w:top w:val="outset" w:sz="6" w:space="0" w:color="auto"/>
                <w:left w:val="outset" w:sz="6" w:space="0" w:color="auto"/>
                <w:bottom w:val="outset" w:sz="6" w:space="0" w:color="auto"/>
                <w:right w:val="outset" w:sz="6" w:space="0" w:color="auto"/>
              </w:tblBorders>
              <w:tblLayout w:type="fixed"/>
              <w:tblCellMar>
                <w:top w:w="20" w:type="dxa"/>
                <w:left w:w="20" w:type="dxa"/>
                <w:bottom w:w="20" w:type="dxa"/>
                <w:right w:w="20" w:type="dxa"/>
              </w:tblCellMar>
              <w:tblLook w:val="0000" w:firstRow="0" w:lastRow="0" w:firstColumn="0" w:lastColumn="0" w:noHBand="0" w:noVBand="0"/>
            </w:tblPr>
            <w:tblGrid>
              <w:gridCol w:w="490"/>
              <w:gridCol w:w="748"/>
            </w:tblGrid>
            <w:tr w:rsidR="001B59C9" w:rsidRPr="00DF69BB" w14:paraId="77AC8BDC" w14:textId="77777777" w:rsidTr="007D455F">
              <w:trPr>
                <w:trHeight w:val="209"/>
                <w:tblCellSpacing w:w="10" w:type="dxa"/>
              </w:trPr>
              <w:tc>
                <w:tcPr>
                  <w:tcW w:w="454" w:type="dxa"/>
                  <w:tcBorders>
                    <w:top w:val="outset" w:sz="6" w:space="0" w:color="auto"/>
                    <w:left w:val="outset" w:sz="6" w:space="0" w:color="auto"/>
                    <w:bottom w:val="outset" w:sz="6" w:space="0" w:color="auto"/>
                    <w:right w:val="outset" w:sz="6" w:space="0" w:color="auto"/>
                  </w:tcBorders>
                  <w:shd w:val="clear" w:color="auto" w:fill="auto"/>
                  <w:vAlign w:val="center"/>
                </w:tcPr>
                <w:p w14:paraId="30AF6746" w14:textId="77777777" w:rsidR="001B59C9" w:rsidRPr="001B59C9" w:rsidRDefault="001B59C9" w:rsidP="001B59C9">
                  <w:pPr>
                    <w:rPr>
                      <w:b/>
                      <w:color w:val="002060"/>
                    </w:rPr>
                  </w:pPr>
                  <w:r w:rsidRPr="001B59C9">
                    <w:rPr>
                      <w:b/>
                      <w:color w:val="002060"/>
                    </w:rPr>
                    <w:t>A+  </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14:paraId="5419AA71" w14:textId="77777777" w:rsidR="001B59C9" w:rsidRPr="001B59C9" w:rsidRDefault="001B59C9" w:rsidP="001B59C9">
                  <w:pPr>
                    <w:rPr>
                      <w:b/>
                      <w:color w:val="002060"/>
                    </w:rPr>
                  </w:pPr>
                  <w:r w:rsidRPr="001B59C9">
                    <w:rPr>
                      <w:b/>
                      <w:color w:val="002060"/>
                    </w:rPr>
                    <w:t>90-100   </w:t>
                  </w:r>
                </w:p>
              </w:tc>
            </w:tr>
            <w:tr w:rsidR="001B59C9" w:rsidRPr="00DF69BB" w14:paraId="4DDD048F" w14:textId="77777777" w:rsidTr="007D455F">
              <w:trPr>
                <w:trHeight w:val="200"/>
                <w:tblCellSpacing w:w="10" w:type="dxa"/>
              </w:trPr>
              <w:tc>
                <w:tcPr>
                  <w:tcW w:w="454" w:type="dxa"/>
                  <w:tcBorders>
                    <w:top w:val="outset" w:sz="6" w:space="0" w:color="auto"/>
                    <w:left w:val="outset" w:sz="6" w:space="0" w:color="auto"/>
                    <w:bottom w:val="outset" w:sz="6" w:space="0" w:color="auto"/>
                    <w:right w:val="outset" w:sz="6" w:space="0" w:color="auto"/>
                  </w:tcBorders>
                  <w:shd w:val="clear" w:color="auto" w:fill="auto"/>
                  <w:vAlign w:val="center"/>
                </w:tcPr>
                <w:p w14:paraId="317E7CD2" w14:textId="77777777" w:rsidR="001B59C9" w:rsidRPr="001B59C9" w:rsidRDefault="001B59C9" w:rsidP="001B59C9">
                  <w:pPr>
                    <w:rPr>
                      <w:b/>
                      <w:color w:val="002060"/>
                    </w:rPr>
                  </w:pPr>
                  <w:r w:rsidRPr="001B59C9">
                    <w:rPr>
                      <w:b/>
                      <w:color w:val="002060"/>
                    </w:rPr>
                    <w:t xml:space="preserve">A </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14:paraId="5C874E8B" w14:textId="77777777" w:rsidR="001B59C9" w:rsidRPr="001B59C9" w:rsidRDefault="001B59C9" w:rsidP="001B59C9">
                  <w:pPr>
                    <w:rPr>
                      <w:b/>
                      <w:color w:val="002060"/>
                    </w:rPr>
                  </w:pPr>
                  <w:r w:rsidRPr="001B59C9">
                    <w:rPr>
                      <w:b/>
                      <w:color w:val="002060"/>
                    </w:rPr>
                    <w:t>80-89  </w:t>
                  </w:r>
                </w:p>
              </w:tc>
            </w:tr>
            <w:tr w:rsidR="001B59C9" w:rsidRPr="00DF69BB" w14:paraId="2BA871E4" w14:textId="77777777" w:rsidTr="007D455F">
              <w:trPr>
                <w:trHeight w:val="200"/>
                <w:tblCellSpacing w:w="10" w:type="dxa"/>
              </w:trPr>
              <w:tc>
                <w:tcPr>
                  <w:tcW w:w="454" w:type="dxa"/>
                  <w:tcBorders>
                    <w:top w:val="outset" w:sz="6" w:space="0" w:color="auto"/>
                    <w:left w:val="outset" w:sz="6" w:space="0" w:color="auto"/>
                    <w:bottom w:val="outset" w:sz="6" w:space="0" w:color="auto"/>
                    <w:right w:val="outset" w:sz="6" w:space="0" w:color="auto"/>
                  </w:tcBorders>
                  <w:shd w:val="clear" w:color="auto" w:fill="auto"/>
                  <w:vAlign w:val="center"/>
                </w:tcPr>
                <w:p w14:paraId="3304C887" w14:textId="77777777" w:rsidR="001B59C9" w:rsidRPr="001B59C9" w:rsidRDefault="001B59C9" w:rsidP="001B59C9">
                  <w:pPr>
                    <w:rPr>
                      <w:b/>
                      <w:color w:val="002060"/>
                    </w:rPr>
                  </w:pPr>
                  <w:r w:rsidRPr="001B59C9">
                    <w:rPr>
                      <w:b/>
                      <w:color w:val="002060"/>
                    </w:rPr>
                    <w:t>B</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14:paraId="598DB011" w14:textId="77777777" w:rsidR="001B59C9" w:rsidRPr="001B59C9" w:rsidRDefault="001B59C9" w:rsidP="001B59C9">
                  <w:pPr>
                    <w:rPr>
                      <w:b/>
                      <w:color w:val="002060"/>
                    </w:rPr>
                  </w:pPr>
                  <w:r w:rsidRPr="001B59C9">
                    <w:rPr>
                      <w:b/>
                      <w:color w:val="002060"/>
                    </w:rPr>
                    <w:t xml:space="preserve">70-79 </w:t>
                  </w:r>
                </w:p>
              </w:tc>
            </w:tr>
            <w:tr w:rsidR="001B59C9" w:rsidRPr="00DF69BB" w14:paraId="13DA952F" w14:textId="77777777" w:rsidTr="007D455F">
              <w:trPr>
                <w:trHeight w:val="209"/>
                <w:tblCellSpacing w:w="10" w:type="dxa"/>
              </w:trPr>
              <w:tc>
                <w:tcPr>
                  <w:tcW w:w="454" w:type="dxa"/>
                  <w:tcBorders>
                    <w:top w:val="outset" w:sz="6" w:space="0" w:color="auto"/>
                    <w:left w:val="outset" w:sz="6" w:space="0" w:color="auto"/>
                    <w:bottom w:val="outset" w:sz="6" w:space="0" w:color="auto"/>
                    <w:right w:val="outset" w:sz="6" w:space="0" w:color="auto"/>
                  </w:tcBorders>
                  <w:shd w:val="clear" w:color="auto" w:fill="auto"/>
                  <w:vAlign w:val="center"/>
                </w:tcPr>
                <w:p w14:paraId="7825F903" w14:textId="77777777" w:rsidR="001B59C9" w:rsidRPr="001B59C9" w:rsidRDefault="001B59C9" w:rsidP="001B59C9">
                  <w:pPr>
                    <w:rPr>
                      <w:b/>
                      <w:color w:val="002060"/>
                    </w:rPr>
                  </w:pPr>
                  <w:r w:rsidRPr="001B59C9">
                    <w:rPr>
                      <w:b/>
                      <w:color w:val="002060"/>
                    </w:rPr>
                    <w:t xml:space="preserve">C </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14:paraId="63CEE957" w14:textId="77777777" w:rsidR="001B59C9" w:rsidRPr="001B59C9" w:rsidRDefault="001B59C9" w:rsidP="001B59C9">
                  <w:pPr>
                    <w:rPr>
                      <w:b/>
                      <w:color w:val="002060"/>
                    </w:rPr>
                  </w:pPr>
                  <w:r w:rsidRPr="001B59C9">
                    <w:rPr>
                      <w:b/>
                      <w:color w:val="002060"/>
                    </w:rPr>
                    <w:t xml:space="preserve">60-69 </w:t>
                  </w:r>
                </w:p>
              </w:tc>
            </w:tr>
            <w:tr w:rsidR="001B59C9" w:rsidRPr="00DF69BB" w14:paraId="72AE384B" w14:textId="77777777" w:rsidTr="007D455F">
              <w:trPr>
                <w:trHeight w:val="200"/>
                <w:tblCellSpacing w:w="10" w:type="dxa"/>
              </w:trPr>
              <w:tc>
                <w:tcPr>
                  <w:tcW w:w="454" w:type="dxa"/>
                  <w:tcBorders>
                    <w:top w:val="outset" w:sz="6" w:space="0" w:color="auto"/>
                    <w:left w:val="outset" w:sz="6" w:space="0" w:color="auto"/>
                    <w:bottom w:val="outset" w:sz="6" w:space="0" w:color="auto"/>
                    <w:right w:val="outset" w:sz="6" w:space="0" w:color="auto"/>
                  </w:tcBorders>
                  <w:shd w:val="clear" w:color="auto" w:fill="auto"/>
                  <w:vAlign w:val="center"/>
                </w:tcPr>
                <w:p w14:paraId="4399F91A" w14:textId="77777777" w:rsidR="001B59C9" w:rsidRPr="001B59C9" w:rsidRDefault="001B59C9" w:rsidP="001B59C9">
                  <w:pPr>
                    <w:rPr>
                      <w:b/>
                      <w:color w:val="002060"/>
                    </w:rPr>
                  </w:pPr>
                  <w:r w:rsidRPr="001B59C9">
                    <w:rPr>
                      <w:b/>
                      <w:color w:val="002060"/>
                    </w:rPr>
                    <w:t>D  </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14:paraId="04F629CC" w14:textId="77777777" w:rsidR="001B59C9" w:rsidRPr="001B59C9" w:rsidRDefault="001B59C9" w:rsidP="001B59C9">
                  <w:pPr>
                    <w:rPr>
                      <w:b/>
                      <w:color w:val="002060"/>
                    </w:rPr>
                  </w:pPr>
                  <w:r w:rsidRPr="001B59C9">
                    <w:rPr>
                      <w:b/>
                      <w:color w:val="002060"/>
                    </w:rPr>
                    <w:t xml:space="preserve">50-59 </w:t>
                  </w:r>
                </w:p>
              </w:tc>
            </w:tr>
            <w:tr w:rsidR="001B59C9" w:rsidRPr="00DF69BB" w14:paraId="220B7582" w14:textId="77777777" w:rsidTr="007D455F">
              <w:trPr>
                <w:trHeight w:val="209"/>
                <w:tblCellSpacing w:w="10" w:type="dxa"/>
              </w:trPr>
              <w:tc>
                <w:tcPr>
                  <w:tcW w:w="454" w:type="dxa"/>
                  <w:tcBorders>
                    <w:top w:val="outset" w:sz="6" w:space="0" w:color="auto"/>
                    <w:left w:val="outset" w:sz="6" w:space="0" w:color="auto"/>
                    <w:bottom w:val="outset" w:sz="6" w:space="0" w:color="auto"/>
                    <w:right w:val="outset" w:sz="6" w:space="0" w:color="auto"/>
                  </w:tcBorders>
                  <w:shd w:val="clear" w:color="auto" w:fill="auto"/>
                  <w:vAlign w:val="center"/>
                </w:tcPr>
                <w:p w14:paraId="20B29680" w14:textId="77777777" w:rsidR="001B59C9" w:rsidRPr="001B59C9" w:rsidRDefault="001B59C9" w:rsidP="001B59C9">
                  <w:pPr>
                    <w:rPr>
                      <w:b/>
                      <w:color w:val="002060"/>
                    </w:rPr>
                  </w:pPr>
                  <w:r w:rsidRPr="001B59C9">
                    <w:rPr>
                      <w:b/>
                      <w:color w:val="002060"/>
                    </w:rPr>
                    <w:t xml:space="preserve">F </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14:paraId="7E446CB6" w14:textId="77777777" w:rsidR="001B59C9" w:rsidRPr="001B59C9" w:rsidRDefault="001B59C9" w:rsidP="001B59C9">
                  <w:pPr>
                    <w:rPr>
                      <w:b/>
                      <w:color w:val="002060"/>
                    </w:rPr>
                  </w:pPr>
                  <w:r w:rsidRPr="001B59C9">
                    <w:rPr>
                      <w:b/>
                      <w:color w:val="002060"/>
                    </w:rPr>
                    <w:t>below 50</w:t>
                  </w:r>
                </w:p>
              </w:tc>
            </w:tr>
          </w:tbl>
          <w:p w14:paraId="2CA7CB94" w14:textId="77777777" w:rsidR="001B59C9" w:rsidRDefault="001B59C9" w:rsidP="001B59C9"/>
          <w:p w14:paraId="3C39ADF4" w14:textId="6BF66F6F" w:rsidR="001B59C9" w:rsidRDefault="001B59C9" w:rsidP="001B59C9">
            <w:r w:rsidRPr="00DF69BB">
              <w:t>Online Learning Preparation and Activities</w:t>
            </w:r>
            <w:r>
              <w:t xml:space="preserve"> (OLPA)</w:t>
            </w:r>
            <w:r w:rsidRPr="00DF69BB">
              <w:t xml:space="preserve">*: </w:t>
            </w:r>
            <w:r w:rsidR="007C4461">
              <w:t>8</w:t>
            </w:r>
            <w:r w:rsidRPr="00DF69BB">
              <w:t xml:space="preserve">% </w:t>
            </w:r>
          </w:p>
          <w:p w14:paraId="0BD34488" w14:textId="77777777" w:rsidR="001B59C9" w:rsidRPr="00DF69BB" w:rsidRDefault="001B59C9" w:rsidP="001B59C9">
            <w:r w:rsidRPr="00DF69BB">
              <w:t>Class Participation</w:t>
            </w:r>
            <w:r>
              <w:t xml:space="preserve"> (</w:t>
            </w:r>
            <w:r w:rsidR="00CF0D0B">
              <w:t>C</w:t>
            </w:r>
            <w:r>
              <w:t>P)</w:t>
            </w:r>
            <w:r w:rsidRPr="00DF69BB">
              <w:t>: 10%</w:t>
            </w:r>
            <w:r w:rsidRPr="00DF69BB">
              <w:rPr>
                <w:b/>
              </w:rPr>
              <w:t>**</w:t>
            </w:r>
          </w:p>
          <w:p w14:paraId="42F8D58C" w14:textId="7504C30B" w:rsidR="001B59C9" w:rsidRPr="00DF69BB" w:rsidRDefault="001B59C9" w:rsidP="001B59C9">
            <w:r w:rsidRPr="00DF69BB">
              <w:t>Tests</w:t>
            </w:r>
            <w:r w:rsidR="004706E1">
              <w:t xml:space="preserve"> and Quizzes</w:t>
            </w:r>
            <w:r w:rsidRPr="00DF69BB">
              <w:t xml:space="preserve">: </w:t>
            </w:r>
            <w:r w:rsidR="00CF0D0B">
              <w:t>3</w:t>
            </w:r>
            <w:r w:rsidR="007C4461">
              <w:t>0</w:t>
            </w:r>
            <w:r w:rsidRPr="00DF69BB">
              <w:t xml:space="preserve">% </w:t>
            </w:r>
          </w:p>
          <w:p w14:paraId="5F2521EA" w14:textId="681D71A8" w:rsidR="001B59C9" w:rsidRPr="00DF69BB" w:rsidRDefault="00CF0D0B" w:rsidP="001B59C9">
            <w:r>
              <w:t>Individual</w:t>
            </w:r>
            <w:r w:rsidR="007C4461">
              <w:t xml:space="preserve"> Presentations </w:t>
            </w:r>
            <w:r w:rsidR="001B59C9">
              <w:t>(</w:t>
            </w:r>
            <w:r w:rsidR="007C4461">
              <w:t>IP</w:t>
            </w:r>
            <w:r w:rsidR="001B59C9">
              <w:t>)</w:t>
            </w:r>
            <w:r w:rsidR="001B59C9" w:rsidRPr="00DF69BB">
              <w:t xml:space="preserve">: </w:t>
            </w:r>
            <w:r>
              <w:t>1</w:t>
            </w:r>
            <w:r w:rsidR="007C4461">
              <w:t>2</w:t>
            </w:r>
            <w:r w:rsidR="001B59C9" w:rsidRPr="00DF69BB">
              <w:t>%</w:t>
            </w:r>
          </w:p>
          <w:p w14:paraId="2E9307D8" w14:textId="77777777" w:rsidR="001B59C9" w:rsidRPr="00DF69BB" w:rsidRDefault="001B59C9" w:rsidP="001B59C9">
            <w:r w:rsidRPr="00DF69BB">
              <w:t>Final Poster Presentation</w:t>
            </w:r>
            <w:r>
              <w:t xml:space="preserve"> (PP)</w:t>
            </w:r>
            <w:r w:rsidRPr="00DF69BB">
              <w:t>: 10%</w:t>
            </w:r>
          </w:p>
          <w:p w14:paraId="59A0AA48" w14:textId="77777777" w:rsidR="001B59C9" w:rsidRPr="00DF69BB" w:rsidRDefault="001B59C9" w:rsidP="001B59C9">
            <w:r w:rsidRPr="00DF69BB">
              <w:t>Final Exam: 30%</w:t>
            </w:r>
          </w:p>
          <w:p w14:paraId="03B16A92" w14:textId="77777777" w:rsidR="001B59C9" w:rsidRPr="00DF69BB" w:rsidRDefault="001B59C9" w:rsidP="001B59C9">
            <w:r w:rsidRPr="00DF69BB">
              <w:t>Total: 100%</w:t>
            </w:r>
          </w:p>
          <w:p w14:paraId="4852116B" w14:textId="77777777" w:rsidR="001B59C9" w:rsidRPr="00DF69BB" w:rsidRDefault="001B59C9" w:rsidP="001B59C9"/>
          <w:p w14:paraId="0F73206C" w14:textId="77777777" w:rsidR="001B59C9" w:rsidRPr="00DF69BB" w:rsidRDefault="001B59C9" w:rsidP="001B59C9"/>
          <w:p w14:paraId="4EAF8DF3" w14:textId="77777777" w:rsidR="001B59C9" w:rsidRPr="00DF69BB" w:rsidRDefault="001B59C9" w:rsidP="001B59C9"/>
          <w:p w14:paraId="3FE57E64" w14:textId="77777777" w:rsidR="001B59C9" w:rsidRPr="004E676F" w:rsidRDefault="001B59C9" w:rsidP="001B59C9">
            <w:pPr>
              <w:rPr>
                <w:b/>
                <w:color w:val="002060"/>
              </w:rPr>
            </w:pPr>
          </w:p>
        </w:tc>
      </w:tr>
      <w:tr w:rsidR="001B59C9" w:rsidRPr="004E676F" w14:paraId="03E14331" w14:textId="77777777" w:rsidTr="007D455F">
        <w:trPr>
          <w:trHeight w:val="2310"/>
        </w:trPr>
        <w:tc>
          <w:tcPr>
            <w:tcW w:w="6195" w:type="dxa"/>
            <w:gridSpan w:val="4"/>
            <w:vMerge/>
            <w:tcBorders>
              <w:top w:val="nil"/>
              <w:left w:val="nil"/>
              <w:bottom w:val="nil"/>
              <w:right w:val="nil"/>
            </w:tcBorders>
          </w:tcPr>
          <w:p w14:paraId="3071F792" w14:textId="77777777" w:rsidR="001B59C9" w:rsidRDefault="001B59C9" w:rsidP="005A593B">
            <w:pPr>
              <w:tabs>
                <w:tab w:val="left" w:pos="990"/>
              </w:tabs>
              <w:spacing w:before="80"/>
              <w:rPr>
                <w:rFonts w:cs="Helvetica"/>
                <w:b/>
                <w:noProof/>
                <w:color w:val="002060"/>
                <w:lang w:val="en-US"/>
              </w:rPr>
            </w:pPr>
          </w:p>
        </w:tc>
        <w:tc>
          <w:tcPr>
            <w:tcW w:w="6110" w:type="dxa"/>
            <w:gridSpan w:val="3"/>
            <w:tcBorders>
              <w:top w:val="nil"/>
              <w:left w:val="nil"/>
              <w:bottom w:val="nil"/>
              <w:right w:val="nil"/>
            </w:tcBorders>
          </w:tcPr>
          <w:p w14:paraId="1F3370A3" w14:textId="77777777" w:rsidR="001B59C9" w:rsidRPr="00DF69BB" w:rsidRDefault="001B59C9" w:rsidP="008C104A">
            <w:pPr>
              <w:jc w:val="left"/>
              <w:rPr>
                <w:u w:val="single"/>
              </w:rPr>
            </w:pPr>
            <w:r w:rsidRPr="00DF69BB">
              <w:t>*</w:t>
            </w:r>
            <w:r w:rsidRPr="00207F80">
              <w:rPr>
                <w:b/>
                <w:color w:val="002060"/>
              </w:rPr>
              <w:t>Activities</w:t>
            </w:r>
            <w:r w:rsidRPr="00DF69BB">
              <w:rPr>
                <w:b/>
              </w:rPr>
              <w:t xml:space="preserve"> </w:t>
            </w:r>
            <w:r w:rsidRPr="00DF69BB">
              <w:t xml:space="preserve">include practice </w:t>
            </w:r>
            <w:r>
              <w:t>activities</w:t>
            </w:r>
            <w:r w:rsidRPr="00DF69BB">
              <w:t xml:space="preserve"> as outlined in the </w:t>
            </w:r>
            <w:r w:rsidRPr="00DF69BB">
              <w:rPr>
                <w:i/>
              </w:rPr>
              <w:t>Online Activities Schedule</w:t>
            </w:r>
            <w:r w:rsidRPr="00DF69BB">
              <w:t xml:space="preserve">. </w:t>
            </w:r>
          </w:p>
          <w:p w14:paraId="1374D377" w14:textId="0B4DC487" w:rsidR="001B59C9" w:rsidRPr="001B59C9" w:rsidRDefault="001B59C9" w:rsidP="008C104A">
            <w:pPr>
              <w:jc w:val="left"/>
              <w:rPr>
                <w:i/>
              </w:rPr>
            </w:pPr>
            <w:r w:rsidRPr="00207F80">
              <w:rPr>
                <w:color w:val="002060"/>
              </w:rPr>
              <w:t>**</w:t>
            </w:r>
            <w:r w:rsidRPr="00207F80">
              <w:rPr>
                <w:b/>
                <w:color w:val="002060"/>
              </w:rPr>
              <w:t>Bonus points 3% for Participation:</w:t>
            </w:r>
            <w:r w:rsidRPr="00207F80">
              <w:rPr>
                <w:i/>
                <w:color w:val="002060"/>
              </w:rPr>
              <w:t xml:space="preserve"> </w:t>
            </w:r>
            <w:r w:rsidRPr="00DF69BB">
              <w:rPr>
                <w:i/>
              </w:rPr>
              <w:t xml:space="preserve">Italian Studies @ Western organizes several cultural activities throughout the year that enhance the learning of Italian. List of extra-course activities will be provided at the start of term. These activities include, but are not limited to, guest speakers, end-of-the-year theatrical performance, Italian cooking classes, </w:t>
            </w:r>
            <w:proofErr w:type="spellStart"/>
            <w:r w:rsidRPr="00DF69BB">
              <w:rPr>
                <w:i/>
              </w:rPr>
              <w:t>Cineclub</w:t>
            </w:r>
            <w:proofErr w:type="spellEnd"/>
            <w:r w:rsidRPr="00DF69BB">
              <w:rPr>
                <w:i/>
              </w:rPr>
              <w:t xml:space="preserve"> </w:t>
            </w:r>
            <w:proofErr w:type="spellStart"/>
            <w:r w:rsidRPr="00DF69BB">
              <w:rPr>
                <w:i/>
              </w:rPr>
              <w:t>Italiano</w:t>
            </w:r>
            <w:proofErr w:type="spellEnd"/>
            <w:r w:rsidRPr="00DF69BB">
              <w:rPr>
                <w:i/>
              </w:rPr>
              <w:t xml:space="preserve">, Conversation Club, and more. Students will be provided with a passport </w:t>
            </w:r>
            <w:r w:rsidR="00EF2F34" w:rsidRPr="00EF2F34">
              <w:rPr>
                <w:b/>
                <w:bCs/>
                <w:i/>
              </w:rPr>
              <w:t>containing</w:t>
            </w:r>
            <w:r w:rsidRPr="00DF69BB">
              <w:rPr>
                <w:i/>
              </w:rPr>
              <w:t xml:space="preserve"> a list of the activities and percentag</w:t>
            </w:r>
            <w:r w:rsidR="00EF2F34">
              <w:rPr>
                <w:i/>
              </w:rPr>
              <w:t>e</w:t>
            </w:r>
            <w:r w:rsidRPr="00DF69BB">
              <w:rPr>
                <w:i/>
              </w:rPr>
              <w:t xml:space="preserve"> to be signed by activities leaders. Bonus Points will be credited for completed activities recorded on the Passport, handed in to the instructor at the end of the course.</w:t>
            </w:r>
          </w:p>
        </w:tc>
      </w:tr>
      <w:tr w:rsidR="003A1E82" w:rsidRPr="004E676F" w14:paraId="61840742" w14:textId="77777777" w:rsidTr="007D455F">
        <w:trPr>
          <w:trHeight w:val="2934"/>
        </w:trPr>
        <w:tc>
          <w:tcPr>
            <w:tcW w:w="4118" w:type="dxa"/>
            <w:gridSpan w:val="2"/>
            <w:vMerge w:val="restart"/>
            <w:tcBorders>
              <w:top w:val="nil"/>
              <w:left w:val="nil"/>
              <w:bottom w:val="nil"/>
              <w:right w:val="nil"/>
            </w:tcBorders>
          </w:tcPr>
          <w:p w14:paraId="73DB62CC" w14:textId="77777777" w:rsidR="003A1E82" w:rsidRDefault="003A1E82" w:rsidP="008C104A">
            <w:pPr>
              <w:jc w:val="left"/>
              <w:rPr>
                <w:rFonts w:eastAsia="Times New Roman" w:cs="Times"/>
                <w:i/>
                <w:iCs/>
              </w:rPr>
            </w:pPr>
            <w:r w:rsidRPr="00207F80">
              <w:rPr>
                <w:b/>
                <w:color w:val="002060"/>
              </w:rPr>
              <w:t xml:space="preserve">Online Learning Activities, Preparation and Class Participation: </w:t>
            </w:r>
            <w:r w:rsidRPr="00DF69BB">
              <w:rPr>
                <w:rFonts w:cs="Helvetica"/>
                <w:szCs w:val="28"/>
                <w:lang w:bidi="en-US"/>
              </w:rPr>
              <w:t xml:space="preserve">The Online Learning Activities are </w:t>
            </w:r>
            <w:r w:rsidRPr="00DF69BB">
              <w:rPr>
                <w:rFonts w:cs="Helvetica"/>
                <w:szCs w:val="28"/>
                <w:u w:val="single"/>
                <w:lang w:bidi="en-US"/>
              </w:rPr>
              <w:t>an integral part of the course and the foundations of class participation.</w:t>
            </w:r>
            <w:r w:rsidRPr="00DF69BB">
              <w:rPr>
                <w:rFonts w:cs="Helvetica"/>
                <w:szCs w:val="28"/>
                <w:lang w:bidi="en-US"/>
              </w:rPr>
              <w:t xml:space="preserve"> Students are asked to prepare for the in-class portion of the course by completing the selected activities as indicated in the weekly calendar distributed at the beginning of the course. (Your professor might add other activities, for practice). Participation is assessed based on class preparation built on this weekly online component, the overall in-class performance and progress, including group and pair in-class activities, and willingness to communicate in Italian. Students who miss classes or parts of classes are responsible for the material they have missed. For more details about missed classes and final exam debarment, please check </w:t>
            </w:r>
            <w:hyperlink r:id="rId11" w:history="1">
              <w:r w:rsidRPr="00DF69BB">
                <w:rPr>
                  <w:rFonts w:eastAsia="Times New Roman" w:cs="Times"/>
                  <w:i/>
                  <w:iCs/>
                  <w:color w:val="386EFF"/>
                  <w:u w:val="single" w:color="386EFF"/>
                </w:rPr>
                <w:t>http://www.uwo.ca/modlang/undergraduate/policies.html</w:t>
              </w:r>
            </w:hyperlink>
          </w:p>
          <w:p w14:paraId="426A2E8F" w14:textId="77777777" w:rsidR="003A1E82" w:rsidRDefault="003A1E82" w:rsidP="008C104A">
            <w:pPr>
              <w:jc w:val="left"/>
              <w:rPr>
                <w:rFonts w:eastAsia="Times New Roman" w:cs="Times"/>
                <w:i/>
                <w:iCs/>
              </w:rPr>
            </w:pPr>
          </w:p>
          <w:p w14:paraId="7E8906ED" w14:textId="51C96965" w:rsidR="003A1E82" w:rsidRPr="00DF69BB" w:rsidRDefault="003A1E82" w:rsidP="008C104A">
            <w:pPr>
              <w:jc w:val="left"/>
              <w:rPr>
                <w:b/>
              </w:rPr>
            </w:pPr>
            <w:r w:rsidRPr="003A1E82">
              <w:rPr>
                <w:b/>
                <w:color w:val="002060"/>
              </w:rPr>
              <w:t>Tests</w:t>
            </w:r>
            <w:r w:rsidR="007277C0">
              <w:rPr>
                <w:b/>
                <w:color w:val="002060"/>
              </w:rPr>
              <w:t>, Quizzes</w:t>
            </w:r>
            <w:r w:rsidRPr="003A1E82">
              <w:rPr>
                <w:b/>
                <w:color w:val="002060"/>
              </w:rPr>
              <w:t xml:space="preserve"> and Final Exam: </w:t>
            </w:r>
            <w:r w:rsidR="004706E1">
              <w:t>T</w:t>
            </w:r>
            <w:r w:rsidRPr="00DF69BB">
              <w:t>ests</w:t>
            </w:r>
            <w:r w:rsidR="004706E1">
              <w:t xml:space="preserve"> and quizzes</w:t>
            </w:r>
            <w:r w:rsidRPr="00DF69BB">
              <w:t xml:space="preserve"> </w:t>
            </w:r>
            <w:r w:rsidRPr="002710DE">
              <w:t>will include grammar</w:t>
            </w:r>
            <w:r w:rsidR="003835F2">
              <w:t xml:space="preserve"> and </w:t>
            </w:r>
            <w:r w:rsidRPr="002710DE">
              <w:t xml:space="preserve">listening </w:t>
            </w:r>
            <w:r w:rsidR="00EF2F34" w:rsidRPr="002710DE">
              <w:t xml:space="preserve">and </w:t>
            </w:r>
            <w:r w:rsidRPr="002710DE">
              <w:t>comprehension</w:t>
            </w:r>
            <w:r w:rsidR="00EF2F34" w:rsidRPr="002710DE">
              <w:t xml:space="preserve"> sections</w:t>
            </w:r>
            <w:r w:rsidRPr="002710DE">
              <w:t xml:space="preserve">. Students </w:t>
            </w:r>
            <w:r w:rsidRPr="00DF69BB">
              <w:t>will receive guidelines beforehand, and of course class time and homework will be geared to the preparation for the tests</w:t>
            </w:r>
            <w:r w:rsidR="004706E1">
              <w:t xml:space="preserve"> and quizzes</w:t>
            </w:r>
            <w:r w:rsidRPr="00DF69BB">
              <w:t xml:space="preserve">. </w:t>
            </w:r>
            <w:r>
              <w:t>No make-</w:t>
            </w:r>
            <w:r w:rsidRPr="00DF69BB">
              <w:t>ups will be allowed unless appropriate documentation is provided. See below under “Missed Assignments”.</w:t>
            </w:r>
          </w:p>
          <w:p w14:paraId="607DC19B" w14:textId="77777777" w:rsidR="003835F2" w:rsidRDefault="003835F2" w:rsidP="008C104A">
            <w:pPr>
              <w:jc w:val="left"/>
              <w:rPr>
                <w:b/>
                <w:color w:val="002060"/>
              </w:rPr>
            </w:pPr>
          </w:p>
          <w:p w14:paraId="69DBB046" w14:textId="01BA3B33" w:rsidR="003A1E82" w:rsidRPr="00DF69BB" w:rsidRDefault="003A1E82" w:rsidP="008C104A">
            <w:pPr>
              <w:jc w:val="left"/>
              <w:rPr>
                <w:szCs w:val="22"/>
              </w:rPr>
            </w:pPr>
            <w:r w:rsidRPr="003A1E82">
              <w:rPr>
                <w:b/>
                <w:color w:val="002060"/>
              </w:rPr>
              <w:t>Please note</w:t>
            </w:r>
            <w:r w:rsidRPr="003A1E82">
              <w:rPr>
                <w:color w:val="002060"/>
              </w:rPr>
              <w:t>:</w:t>
            </w:r>
            <w:r w:rsidRPr="003A1E82">
              <w:rPr>
                <w:b/>
                <w:color w:val="002060"/>
              </w:rPr>
              <w:t xml:space="preserve"> </w:t>
            </w:r>
            <w:r w:rsidRPr="00DF69BB">
              <w:t xml:space="preserve">The Final Exam </w:t>
            </w:r>
            <w:r w:rsidRPr="00DF69BB">
              <w:rPr>
                <w:szCs w:val="22"/>
              </w:rPr>
              <w:t>is timetabled by the Office of the Registrar during the April examination period. Please, plan your travels accordingly. NO special examinations can be granted with approval of the Dean’s Office.</w:t>
            </w:r>
          </w:p>
          <w:p w14:paraId="2C066923" w14:textId="77777777" w:rsidR="003A1E82" w:rsidRDefault="003A1E82" w:rsidP="008C104A">
            <w:pPr>
              <w:jc w:val="left"/>
              <w:rPr>
                <w:rFonts w:ascii="HP Simplified" w:hAnsi="HP Simplified"/>
              </w:rPr>
            </w:pPr>
          </w:p>
          <w:p w14:paraId="0CFC3949" w14:textId="3AC09291" w:rsidR="00D25F91" w:rsidRPr="004E676F" w:rsidRDefault="00D25F91" w:rsidP="008C104A">
            <w:pPr>
              <w:widowControl w:val="0"/>
              <w:autoSpaceDE w:val="0"/>
              <w:autoSpaceDN w:val="0"/>
              <w:adjustRightInd w:val="0"/>
              <w:jc w:val="left"/>
              <w:rPr>
                <w:rFonts w:ascii="HP Simplified" w:hAnsi="HP Simplified"/>
              </w:rPr>
            </w:pPr>
          </w:p>
        </w:tc>
        <w:tc>
          <w:tcPr>
            <w:tcW w:w="236" w:type="dxa"/>
            <w:vMerge w:val="restart"/>
            <w:tcBorders>
              <w:top w:val="nil"/>
              <w:left w:val="nil"/>
              <w:bottom w:val="nil"/>
              <w:right w:val="nil"/>
            </w:tcBorders>
          </w:tcPr>
          <w:p w14:paraId="432E69A1" w14:textId="77777777" w:rsidR="003A1E82" w:rsidRPr="004E676F" w:rsidRDefault="003A1E82" w:rsidP="008C104A">
            <w:pPr>
              <w:jc w:val="left"/>
            </w:pPr>
          </w:p>
        </w:tc>
        <w:tc>
          <w:tcPr>
            <w:tcW w:w="4087" w:type="dxa"/>
            <w:gridSpan w:val="2"/>
            <w:tcBorders>
              <w:top w:val="nil"/>
              <w:left w:val="nil"/>
              <w:bottom w:val="nil"/>
              <w:right w:val="nil"/>
            </w:tcBorders>
          </w:tcPr>
          <w:p w14:paraId="66972399" w14:textId="77777777" w:rsidR="003A1E82" w:rsidRPr="003A1E82" w:rsidRDefault="003A1E82" w:rsidP="008C104A">
            <w:pPr>
              <w:jc w:val="left"/>
              <w:rPr>
                <w:color w:val="002060"/>
              </w:rPr>
            </w:pPr>
            <w:r w:rsidRPr="003A1E82">
              <w:rPr>
                <w:b/>
                <w:color w:val="002060"/>
              </w:rPr>
              <w:t>Final Poster Presentation:</w:t>
            </w:r>
          </w:p>
          <w:p w14:paraId="4F3D83D1" w14:textId="7F258438" w:rsidR="003A1E82" w:rsidRPr="00DF69BB" w:rsidRDefault="007C4461" w:rsidP="008C104A">
            <w:pPr>
              <w:widowControl w:val="0"/>
              <w:autoSpaceDE w:val="0"/>
              <w:autoSpaceDN w:val="0"/>
              <w:adjustRightInd w:val="0"/>
              <w:jc w:val="left"/>
              <w:rPr>
                <w:rFonts w:eastAsia="Times New Roman"/>
                <w:iCs/>
              </w:rPr>
            </w:pPr>
            <w:r>
              <w:rPr>
                <w:rFonts w:eastAsia="Times New Roman"/>
                <w:iCs/>
              </w:rPr>
              <w:t>S</w:t>
            </w:r>
            <w:r w:rsidR="003A1E82" w:rsidRPr="00DF69BB">
              <w:rPr>
                <w:rFonts w:eastAsia="Times New Roman"/>
                <w:iCs/>
              </w:rPr>
              <w:t xml:space="preserve">tudents (in groups of 3 or 4) will present a poster on aspects of Italian culture in the global context, at the Italian Studies Cultural Awareness Day on campus. Each group will be in attendance for one hour. With the assistance of their professors, students will select a topic and a time slot for their poster presentation in the Fall term. While posters will be bilingual, Italian and English, the poster presentation will be in Italian to allow your professor </w:t>
            </w:r>
            <w:r w:rsidR="003A1E82">
              <w:rPr>
                <w:rFonts w:eastAsia="Times New Roman"/>
                <w:iCs/>
              </w:rPr>
              <w:t>to assess your oral performance</w:t>
            </w:r>
            <w:r w:rsidR="003A1E82" w:rsidRPr="00DF69BB">
              <w:rPr>
                <w:rFonts w:eastAsia="Times New Roman"/>
                <w:iCs/>
              </w:rPr>
              <w:t xml:space="preserve">. Practice beforehand with your group mates is highly recommended. Students will be assessed on their contribution individually, and the evaluation grid will be posted on OWL. This activity encourages intercultural communication, and will give students the opportunity to showcase their ability to speak Italian at the level appropriate for a Beginner </w:t>
            </w:r>
            <w:r w:rsidR="003835F2">
              <w:rPr>
                <w:rFonts w:eastAsia="Times New Roman"/>
                <w:iCs/>
              </w:rPr>
              <w:t>course</w:t>
            </w:r>
            <w:bookmarkStart w:id="0" w:name="_GoBack"/>
            <w:bookmarkEnd w:id="0"/>
            <w:r w:rsidR="003A1E82" w:rsidRPr="00DF69BB">
              <w:rPr>
                <w:rFonts w:eastAsia="Times New Roman"/>
                <w:iCs/>
              </w:rPr>
              <w:t>. More details will be provided in late September, via OWL.</w:t>
            </w:r>
          </w:p>
          <w:p w14:paraId="05F6BD99" w14:textId="77777777" w:rsidR="003A1E82" w:rsidRDefault="003A1E82" w:rsidP="008C104A">
            <w:pPr>
              <w:jc w:val="left"/>
            </w:pPr>
          </w:p>
          <w:p w14:paraId="65D453CC" w14:textId="77777777" w:rsidR="003A1E82" w:rsidRPr="004E676F" w:rsidRDefault="003A1E82" w:rsidP="008C104A">
            <w:pPr>
              <w:jc w:val="left"/>
            </w:pPr>
          </w:p>
        </w:tc>
        <w:tc>
          <w:tcPr>
            <w:tcW w:w="318" w:type="dxa"/>
            <w:vMerge w:val="restart"/>
            <w:tcBorders>
              <w:top w:val="nil"/>
              <w:left w:val="nil"/>
              <w:bottom w:val="nil"/>
              <w:right w:val="nil"/>
            </w:tcBorders>
          </w:tcPr>
          <w:p w14:paraId="1D9FA250" w14:textId="77777777" w:rsidR="003A1E82" w:rsidRPr="004E676F" w:rsidRDefault="003A1E82" w:rsidP="005A593B"/>
        </w:tc>
        <w:tc>
          <w:tcPr>
            <w:tcW w:w="3546" w:type="dxa"/>
            <w:vMerge w:val="restart"/>
            <w:tcBorders>
              <w:top w:val="nil"/>
              <w:left w:val="nil"/>
              <w:bottom w:val="nil"/>
              <w:right w:val="nil"/>
            </w:tcBorders>
            <w:shd w:val="clear" w:color="auto" w:fill="C0E399"/>
          </w:tcPr>
          <w:p w14:paraId="10228B71" w14:textId="77777777" w:rsidR="008C104A" w:rsidRPr="008C104A" w:rsidRDefault="008C104A" w:rsidP="008C104A">
            <w:pPr>
              <w:widowControl w:val="0"/>
              <w:ind w:left="2160" w:hanging="2160"/>
              <w:rPr>
                <w:color w:val="002060"/>
                <w:sz w:val="16"/>
              </w:rPr>
            </w:pPr>
            <w:r w:rsidRPr="008C104A">
              <w:rPr>
                <w:rFonts w:cs="Helvetica"/>
                <w:b/>
                <w:color w:val="002060"/>
                <w:sz w:val="16"/>
                <w:szCs w:val="22"/>
              </w:rPr>
              <w:t>Missed Assignments:</w:t>
            </w:r>
          </w:p>
          <w:p w14:paraId="184C2041" w14:textId="77777777" w:rsidR="008C104A" w:rsidRDefault="008C104A" w:rsidP="008C104A">
            <w:pPr>
              <w:rPr>
                <w:rFonts w:cs="Arial"/>
                <w:sz w:val="16"/>
              </w:rPr>
            </w:pPr>
            <w:r w:rsidRPr="00B665C9">
              <w:rPr>
                <w:rFonts w:cs="Arial"/>
                <w:sz w:val="16"/>
              </w:rPr>
              <w:t xml:space="preserve">Students seeking academic accommodation on medical or non-medical grounds for any missed tests, exams, participation components and/or assignments must apply to the Academic Counselling office of their home Faculty and provide documentation. Please refer to the Policy on Accommodation for Medical Illness </w:t>
            </w:r>
          </w:p>
          <w:p w14:paraId="3B7E2BEA" w14:textId="77777777" w:rsidR="008C104A" w:rsidRPr="00B665C9" w:rsidRDefault="00761184" w:rsidP="008C104A">
            <w:pPr>
              <w:rPr>
                <w:sz w:val="16"/>
              </w:rPr>
            </w:pPr>
            <w:hyperlink r:id="rId12" w:history="1">
              <w:r w:rsidR="008C104A" w:rsidRPr="00B665C9">
                <w:rPr>
                  <w:rStyle w:val="Hyperlink"/>
                  <w:rFonts w:cs="Arial"/>
                  <w:sz w:val="16"/>
                </w:rPr>
                <w:t>https://studentservices.uwo.ca/secure/index.cfm</w:t>
              </w:r>
            </w:hyperlink>
            <w:r w:rsidR="008C104A" w:rsidRPr="00B665C9">
              <w:rPr>
                <w:rFonts w:cs="Arial"/>
                <w:sz w:val="16"/>
              </w:rPr>
              <w:t xml:space="preserve"> and download a Student Medical Certificate (SMC): https://studentservices.uwo.ca</w:t>
            </w:r>
          </w:p>
          <w:p w14:paraId="726782BA" w14:textId="77777777" w:rsidR="008C104A" w:rsidRPr="00B665C9" w:rsidRDefault="008C104A" w:rsidP="008C104A">
            <w:pPr>
              <w:pStyle w:val="HTMLAddress"/>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both"/>
              <w:rPr>
                <w:rFonts w:ascii="Garamond" w:hAnsi="Garamond"/>
                <w:sz w:val="16"/>
                <w:szCs w:val="24"/>
                <w:lang w:eastAsia="ja-JP"/>
              </w:rPr>
            </w:pPr>
            <w:r w:rsidRPr="00B665C9">
              <w:rPr>
                <w:rFonts w:ascii="Garamond" w:hAnsi="Garamond"/>
                <w:bCs/>
                <w:sz w:val="16"/>
                <w:szCs w:val="24"/>
              </w:rPr>
              <w:t xml:space="preserve">Students who found themselves in emotional/mental distress are encouraged to refer to Mental </w:t>
            </w:r>
            <w:proofErr w:type="spellStart"/>
            <w:r w:rsidRPr="00B665C9">
              <w:rPr>
                <w:rFonts w:ascii="Garamond" w:hAnsi="Garamond"/>
                <w:bCs/>
                <w:sz w:val="16"/>
                <w:szCs w:val="24"/>
              </w:rPr>
              <w:t>Health@Western</w:t>
            </w:r>
            <w:proofErr w:type="spellEnd"/>
            <w:r w:rsidRPr="00B665C9">
              <w:rPr>
                <w:rFonts w:ascii="Garamond" w:hAnsi="Garamond"/>
                <w:bCs/>
                <w:sz w:val="16"/>
                <w:szCs w:val="24"/>
              </w:rPr>
              <w:t xml:space="preserve"> </w:t>
            </w:r>
            <w:hyperlink r:id="rId13" w:tgtFrame="_blank" w:history="1">
              <w:r w:rsidRPr="00B665C9">
                <w:rPr>
                  <w:rStyle w:val="Hyperlink"/>
                  <w:rFonts w:ascii="Garamond" w:hAnsi="Garamond"/>
                  <w:bCs/>
                  <w:sz w:val="16"/>
                  <w:szCs w:val="24"/>
                </w:rPr>
                <w:t>http://www.uwo.ca/uwocom/mentalhealth/</w:t>
              </w:r>
            </w:hyperlink>
            <w:r w:rsidRPr="00B665C9">
              <w:rPr>
                <w:rFonts w:ascii="Garamond" w:hAnsi="Garamond"/>
                <w:bCs/>
                <w:sz w:val="16"/>
                <w:szCs w:val="24"/>
              </w:rPr>
              <w:t xml:space="preserve"> for a complete list of confidential options about how to obtain help. </w:t>
            </w:r>
          </w:p>
          <w:p w14:paraId="080F07CB" w14:textId="77777777" w:rsidR="008C104A" w:rsidRDefault="008C104A" w:rsidP="008C104A">
            <w:pPr>
              <w:autoSpaceDE w:val="0"/>
              <w:autoSpaceDN w:val="0"/>
              <w:adjustRightInd w:val="0"/>
              <w:rPr>
                <w:rFonts w:cs="Helvetica"/>
                <w:b/>
                <w:sz w:val="16"/>
                <w:szCs w:val="22"/>
                <w:lang w:eastAsia="en-CA"/>
              </w:rPr>
            </w:pPr>
          </w:p>
          <w:p w14:paraId="43AAB1B7" w14:textId="77777777" w:rsidR="008C104A" w:rsidRPr="008C104A" w:rsidRDefault="008C104A" w:rsidP="008C104A">
            <w:pPr>
              <w:autoSpaceDE w:val="0"/>
              <w:autoSpaceDN w:val="0"/>
              <w:adjustRightInd w:val="0"/>
              <w:rPr>
                <w:rFonts w:cs="Helvetica"/>
                <w:b/>
                <w:color w:val="002060"/>
                <w:sz w:val="16"/>
                <w:szCs w:val="22"/>
                <w:lang w:eastAsia="en-CA"/>
              </w:rPr>
            </w:pPr>
            <w:r w:rsidRPr="008C104A">
              <w:rPr>
                <w:rFonts w:cs="Helvetica"/>
                <w:b/>
                <w:color w:val="002060"/>
                <w:sz w:val="16"/>
                <w:szCs w:val="22"/>
                <w:lang w:eastAsia="en-CA"/>
              </w:rPr>
              <w:t>Classroom use of electronic device:</w:t>
            </w:r>
          </w:p>
          <w:p w14:paraId="06709173" w14:textId="77828A88" w:rsidR="008C104A" w:rsidRPr="00B665C9" w:rsidRDefault="008C104A" w:rsidP="008C104A">
            <w:pPr>
              <w:autoSpaceDE w:val="0"/>
              <w:autoSpaceDN w:val="0"/>
              <w:adjustRightInd w:val="0"/>
              <w:rPr>
                <w:b/>
                <w:sz w:val="16"/>
              </w:rPr>
            </w:pPr>
            <w:r w:rsidRPr="00B665C9">
              <w:rPr>
                <w:rFonts w:cs="Helvetica"/>
                <w:sz w:val="16"/>
                <w:szCs w:val="22"/>
                <w:lang w:eastAsia="en-CA"/>
              </w:rPr>
              <w:t xml:space="preserve">Please be advised that the </w:t>
            </w:r>
            <w:r w:rsidRPr="00B665C9">
              <w:rPr>
                <w:sz w:val="16"/>
              </w:rPr>
              <w:t xml:space="preserve">instructor might require a student to shut down any electronic device if used for purposes other than those related to the course. Cell phones are to be set on vibration mode or turned off during class at all times. Students are asked not to engage in phone conversations, texting, twitting or </w:t>
            </w:r>
            <w:proofErr w:type="spellStart"/>
            <w:r w:rsidRPr="00B665C9">
              <w:rPr>
                <w:sz w:val="16"/>
              </w:rPr>
              <w:t>facebooking</w:t>
            </w:r>
            <w:proofErr w:type="spellEnd"/>
            <w:r w:rsidRPr="00B665C9">
              <w:rPr>
                <w:sz w:val="16"/>
              </w:rPr>
              <w:t xml:space="preserve"> during class time for the benefit of their own overall learning experience and that of their classmates. Repeated breach of these guidelines will result with the student being excused for the rest of the class with consequent loss of any in-class assignment or participation mark for that day.</w:t>
            </w:r>
            <w:r w:rsidRPr="00B665C9">
              <w:rPr>
                <w:b/>
                <w:sz w:val="16"/>
              </w:rPr>
              <w:t xml:space="preserve"> </w:t>
            </w:r>
          </w:p>
          <w:p w14:paraId="2788A5B2" w14:textId="77777777" w:rsidR="008C104A" w:rsidRPr="00B665C9" w:rsidRDefault="008C104A" w:rsidP="008C104A">
            <w:pPr>
              <w:autoSpaceDE w:val="0"/>
              <w:autoSpaceDN w:val="0"/>
              <w:adjustRightInd w:val="0"/>
              <w:rPr>
                <w:b/>
                <w:sz w:val="16"/>
              </w:rPr>
            </w:pPr>
          </w:p>
          <w:p w14:paraId="40496AFE" w14:textId="77777777" w:rsidR="008C104A" w:rsidRPr="008C104A" w:rsidRDefault="008C104A" w:rsidP="008C104A">
            <w:pPr>
              <w:autoSpaceDE w:val="0"/>
              <w:autoSpaceDN w:val="0"/>
              <w:adjustRightInd w:val="0"/>
              <w:rPr>
                <w:b/>
                <w:color w:val="002060"/>
                <w:sz w:val="16"/>
              </w:rPr>
            </w:pPr>
            <w:r w:rsidRPr="008C104A">
              <w:rPr>
                <w:b/>
                <w:color w:val="002060"/>
                <w:sz w:val="16"/>
              </w:rPr>
              <w:t>E-mails:</w:t>
            </w:r>
          </w:p>
          <w:p w14:paraId="5B9A5722" w14:textId="77777777" w:rsidR="008C104A" w:rsidRPr="00B665C9" w:rsidRDefault="008C104A" w:rsidP="008C104A">
            <w:pPr>
              <w:autoSpaceDE w:val="0"/>
              <w:autoSpaceDN w:val="0"/>
              <w:adjustRightInd w:val="0"/>
              <w:rPr>
                <w:sz w:val="16"/>
              </w:rPr>
            </w:pPr>
            <w:r w:rsidRPr="00B665C9">
              <w:rPr>
                <w:sz w:val="16"/>
              </w:rPr>
              <w:t>While your instructors and TAs will do their best to reply within a reasonable timeframe during weekdays to your emails, make sure that the answer to your questions is not already contained in your syllabus. This will save lots of time and concerns.</w:t>
            </w:r>
          </w:p>
          <w:p w14:paraId="4B0D8A6B" w14:textId="77777777" w:rsidR="003A1E82" w:rsidRPr="004E676F" w:rsidRDefault="003A1E82" w:rsidP="005A593B"/>
        </w:tc>
      </w:tr>
      <w:tr w:rsidR="003A1E82" w:rsidRPr="004E676F" w14:paraId="2C25085D" w14:textId="77777777" w:rsidTr="007D455F">
        <w:trPr>
          <w:trHeight w:val="2933"/>
        </w:trPr>
        <w:tc>
          <w:tcPr>
            <w:tcW w:w="4118" w:type="dxa"/>
            <w:gridSpan w:val="2"/>
            <w:vMerge/>
            <w:tcBorders>
              <w:top w:val="nil"/>
              <w:left w:val="nil"/>
              <w:bottom w:val="nil"/>
              <w:right w:val="nil"/>
            </w:tcBorders>
          </w:tcPr>
          <w:p w14:paraId="21174765" w14:textId="77777777" w:rsidR="003A1E82" w:rsidRPr="00207F80" w:rsidRDefault="003A1E82" w:rsidP="008C104A">
            <w:pPr>
              <w:jc w:val="left"/>
              <w:rPr>
                <w:b/>
                <w:color w:val="002060"/>
              </w:rPr>
            </w:pPr>
          </w:p>
        </w:tc>
        <w:tc>
          <w:tcPr>
            <w:tcW w:w="236" w:type="dxa"/>
            <w:vMerge/>
            <w:tcBorders>
              <w:top w:val="nil"/>
              <w:left w:val="nil"/>
              <w:bottom w:val="nil"/>
              <w:right w:val="nil"/>
            </w:tcBorders>
          </w:tcPr>
          <w:p w14:paraId="151AAE0F" w14:textId="77777777" w:rsidR="003A1E82" w:rsidRPr="004E676F" w:rsidRDefault="003A1E82" w:rsidP="008C104A">
            <w:pPr>
              <w:jc w:val="left"/>
            </w:pPr>
          </w:p>
        </w:tc>
        <w:tc>
          <w:tcPr>
            <w:tcW w:w="4087" w:type="dxa"/>
            <w:gridSpan w:val="2"/>
            <w:tcBorders>
              <w:top w:val="nil"/>
              <w:left w:val="nil"/>
              <w:bottom w:val="nil"/>
              <w:right w:val="nil"/>
            </w:tcBorders>
            <w:shd w:val="clear" w:color="auto" w:fill="C0E399"/>
          </w:tcPr>
          <w:p w14:paraId="3B942A0D" w14:textId="77777777" w:rsidR="008C104A" w:rsidRDefault="008C104A" w:rsidP="008C104A">
            <w:pPr>
              <w:rPr>
                <w:rFonts w:eastAsia="Times New Roman" w:cs="Times"/>
                <w:b/>
                <w:sz w:val="16"/>
              </w:rPr>
            </w:pPr>
          </w:p>
          <w:p w14:paraId="3E1DFBD4" w14:textId="77777777" w:rsidR="008C104A" w:rsidRDefault="008C104A" w:rsidP="008C104A">
            <w:pPr>
              <w:rPr>
                <w:rFonts w:eastAsia="Times New Roman" w:cs="Times"/>
                <w:b/>
                <w:sz w:val="16"/>
              </w:rPr>
            </w:pPr>
          </w:p>
          <w:p w14:paraId="1F52DC51" w14:textId="77777777" w:rsidR="008C104A" w:rsidRDefault="008C104A" w:rsidP="008C104A">
            <w:pPr>
              <w:rPr>
                <w:rFonts w:eastAsia="Times New Roman" w:cs="Times"/>
                <w:b/>
                <w:sz w:val="16"/>
              </w:rPr>
            </w:pPr>
          </w:p>
          <w:p w14:paraId="48DAE345" w14:textId="77777777" w:rsidR="008C104A" w:rsidRPr="008C104A" w:rsidRDefault="008C104A" w:rsidP="008C104A">
            <w:pPr>
              <w:rPr>
                <w:rFonts w:cs="Helvetica"/>
                <w:b/>
                <w:color w:val="002060"/>
                <w:sz w:val="16"/>
              </w:rPr>
            </w:pPr>
            <w:r w:rsidRPr="008C104A">
              <w:rPr>
                <w:rFonts w:eastAsia="Times New Roman" w:cs="Times"/>
                <w:b/>
                <w:color w:val="002060"/>
                <w:sz w:val="16"/>
              </w:rPr>
              <w:t>Common statement for all MLL courses on academic accommodation, academic offenses, </w:t>
            </w:r>
            <w:r w:rsidRPr="008C104A">
              <w:rPr>
                <w:rFonts w:eastAsia="Times New Roman" w:cs="Times"/>
                <w:b/>
                <w:color w:val="002060"/>
                <w:sz w:val="16"/>
              </w:rPr>
              <w:softHyphen/>
              <w:t>support services:</w:t>
            </w:r>
          </w:p>
          <w:p w14:paraId="104DB1B9" w14:textId="3233DC2F" w:rsidR="008C104A" w:rsidRDefault="008C104A" w:rsidP="008C104A">
            <w:pPr>
              <w:widowControl w:val="0"/>
              <w:autoSpaceDE w:val="0"/>
              <w:autoSpaceDN w:val="0"/>
              <w:adjustRightInd w:val="0"/>
              <w:rPr>
                <w:rFonts w:eastAsia="Times New Roman" w:cs="Times"/>
                <w:iCs/>
                <w:sz w:val="16"/>
              </w:rPr>
            </w:pPr>
            <w:r w:rsidRPr="00B665C9">
              <w:rPr>
                <w:rFonts w:eastAsia="Times New Roman" w:cs="Times"/>
                <w:iCs/>
                <w:sz w:val="16"/>
              </w:rPr>
              <w:t xml:space="preserve">The Department of Languages and </w:t>
            </w:r>
            <w:r w:rsidR="00C956A4">
              <w:rPr>
                <w:rFonts w:eastAsia="Times New Roman" w:cs="Times"/>
                <w:iCs/>
                <w:sz w:val="16"/>
              </w:rPr>
              <w:t>Culture</w:t>
            </w:r>
            <w:r w:rsidRPr="00B665C9">
              <w:rPr>
                <w:rFonts w:eastAsia="Times New Roman" w:cs="Times"/>
                <w:iCs/>
                <w:sz w:val="16"/>
              </w:rPr>
              <w:t xml:space="preserve">s Policies which govern the conduct, standards, and expectations for student participation in </w:t>
            </w:r>
            <w:r w:rsidR="00C956A4">
              <w:rPr>
                <w:rFonts w:eastAsia="Times New Roman" w:cs="Times"/>
                <w:iCs/>
                <w:sz w:val="16"/>
              </w:rPr>
              <w:t>L</w:t>
            </w:r>
            <w:r w:rsidRPr="00B665C9">
              <w:rPr>
                <w:rFonts w:eastAsia="Times New Roman" w:cs="Times"/>
                <w:iCs/>
                <w:sz w:val="16"/>
              </w:rPr>
              <w:t>anguages and </w:t>
            </w:r>
            <w:r w:rsidR="00C956A4">
              <w:rPr>
                <w:rFonts w:eastAsia="Times New Roman" w:cs="Times"/>
                <w:iCs/>
                <w:sz w:val="16"/>
              </w:rPr>
              <w:t>culture</w:t>
            </w:r>
            <w:r w:rsidRPr="00B665C9">
              <w:rPr>
                <w:rFonts w:eastAsia="Times New Roman" w:cs="Times"/>
                <w:iCs/>
                <w:sz w:val="16"/>
              </w:rPr>
              <w:t xml:space="preserve">s courses is available in the Undergraduate section of the Department website </w:t>
            </w:r>
            <w:r>
              <w:rPr>
                <w:rFonts w:eastAsia="Times New Roman" w:cs="Times"/>
                <w:iCs/>
                <w:sz w:val="16"/>
              </w:rPr>
              <w:t>at</w:t>
            </w:r>
          </w:p>
          <w:p w14:paraId="0FA7D004" w14:textId="121371D3" w:rsidR="008C104A" w:rsidRPr="00C956A4" w:rsidRDefault="00761184" w:rsidP="008C104A">
            <w:pPr>
              <w:widowControl w:val="0"/>
              <w:autoSpaceDE w:val="0"/>
              <w:autoSpaceDN w:val="0"/>
              <w:adjustRightInd w:val="0"/>
              <w:rPr>
                <w:rFonts w:eastAsia="Times New Roman" w:cs="Times"/>
                <w:iCs/>
                <w:sz w:val="16"/>
                <w:szCs w:val="16"/>
              </w:rPr>
            </w:pPr>
            <w:hyperlink r:id="rId14" w:tgtFrame="_blank" w:history="1">
              <w:r w:rsidR="00C956A4" w:rsidRPr="00C956A4">
                <w:rPr>
                  <w:rStyle w:val="Hyperlink"/>
                  <w:sz w:val="16"/>
                  <w:szCs w:val="16"/>
                </w:rPr>
                <w:t>https://www.uwo.ca/languages/undergraduate/policies.html</w:t>
              </w:r>
            </w:hyperlink>
            <w:r w:rsidR="008C104A" w:rsidRPr="00C956A4">
              <w:rPr>
                <w:rFonts w:eastAsia="Times New Roman" w:cs="Times"/>
                <w:iCs/>
                <w:sz w:val="16"/>
                <w:szCs w:val="16"/>
              </w:rPr>
              <w:t>. </w:t>
            </w:r>
          </w:p>
          <w:p w14:paraId="4396F071" w14:textId="6D6A9D74" w:rsidR="003A1E82" w:rsidRPr="00D25F91" w:rsidRDefault="008C104A" w:rsidP="00D25F91">
            <w:pPr>
              <w:widowControl w:val="0"/>
              <w:autoSpaceDE w:val="0"/>
              <w:autoSpaceDN w:val="0"/>
              <w:adjustRightInd w:val="0"/>
              <w:rPr>
                <w:rFonts w:eastAsia="Times New Roman"/>
                <w:sz w:val="16"/>
              </w:rPr>
            </w:pPr>
            <w:r w:rsidRPr="00B665C9">
              <w:rPr>
                <w:rFonts w:eastAsia="Times New Roman" w:cs="Times"/>
                <w:iCs/>
                <w:sz w:val="16"/>
              </w:rPr>
              <w:t>It is your responsibility to understand the policies set out by the Senate and the Department of Modern Languages and Literatures, and thus ignorance of these policies cannot be used as grounds of appeal</w:t>
            </w:r>
          </w:p>
        </w:tc>
        <w:tc>
          <w:tcPr>
            <w:tcW w:w="318" w:type="dxa"/>
            <w:vMerge/>
            <w:tcBorders>
              <w:top w:val="nil"/>
              <w:left w:val="nil"/>
              <w:bottom w:val="nil"/>
              <w:right w:val="nil"/>
            </w:tcBorders>
          </w:tcPr>
          <w:p w14:paraId="10930388" w14:textId="77777777" w:rsidR="003A1E82" w:rsidRPr="004E676F" w:rsidRDefault="003A1E82" w:rsidP="005A593B"/>
        </w:tc>
        <w:tc>
          <w:tcPr>
            <w:tcW w:w="3546" w:type="dxa"/>
            <w:vMerge/>
            <w:tcBorders>
              <w:top w:val="nil"/>
              <w:left w:val="nil"/>
              <w:bottom w:val="nil"/>
              <w:right w:val="nil"/>
            </w:tcBorders>
            <w:shd w:val="clear" w:color="auto" w:fill="C0E399"/>
          </w:tcPr>
          <w:p w14:paraId="72FB4222" w14:textId="77777777" w:rsidR="003A1E82" w:rsidRPr="004E676F" w:rsidRDefault="003A1E82" w:rsidP="005A593B"/>
        </w:tc>
      </w:tr>
    </w:tbl>
    <w:p w14:paraId="23BEB4EC" w14:textId="77777777" w:rsidR="004F19D7" w:rsidRDefault="004F19D7" w:rsidP="00D25F91"/>
    <w:sectPr w:rsidR="004F19D7" w:rsidSect="004F19D7">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71859" w14:textId="77777777" w:rsidR="00761184" w:rsidRDefault="00761184" w:rsidP="003F3FD4">
      <w:r>
        <w:separator/>
      </w:r>
    </w:p>
  </w:endnote>
  <w:endnote w:type="continuationSeparator" w:id="0">
    <w:p w14:paraId="0B6841E2" w14:textId="77777777" w:rsidR="00761184" w:rsidRDefault="00761184" w:rsidP="003F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HP Simplified">
    <w:altName w:val="Calibri"/>
    <w:panose1 w:val="020B0604020202020204"/>
    <w:charset w:val="00"/>
    <w:family w:val="swiss"/>
    <w:pitch w:val="variable"/>
    <w:sig w:usb0="A00000AF" w:usb1="5000205B" w:usb2="00000000" w:usb3="00000000" w:csb0="000000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399998"/>
      <w:docPartObj>
        <w:docPartGallery w:val="Page Numbers (Bottom of Page)"/>
        <w:docPartUnique/>
      </w:docPartObj>
    </w:sdtPr>
    <w:sdtEndPr>
      <w:rPr>
        <w:noProof/>
      </w:rPr>
    </w:sdtEndPr>
    <w:sdtContent>
      <w:p w14:paraId="0A4C2CB7" w14:textId="77777777" w:rsidR="00EE7D73" w:rsidRDefault="00EE7D73">
        <w:pPr>
          <w:pStyle w:val="Footer"/>
          <w:jc w:val="right"/>
        </w:pPr>
        <w:r>
          <w:fldChar w:fldCharType="begin"/>
        </w:r>
        <w:r>
          <w:instrText xml:space="preserve"> PAGE   \* MERGEFORMAT </w:instrText>
        </w:r>
        <w:r>
          <w:fldChar w:fldCharType="separate"/>
        </w:r>
        <w:r w:rsidR="004C58D5">
          <w:rPr>
            <w:noProof/>
          </w:rPr>
          <w:t>2</w:t>
        </w:r>
        <w:r>
          <w:rPr>
            <w:noProof/>
          </w:rPr>
          <w:fldChar w:fldCharType="end"/>
        </w:r>
      </w:p>
    </w:sdtContent>
  </w:sdt>
  <w:p w14:paraId="275C2CD1" w14:textId="77777777" w:rsidR="00EE7D73" w:rsidRDefault="00EE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13749" w14:textId="77777777" w:rsidR="00761184" w:rsidRDefault="00761184" w:rsidP="003F3FD4">
      <w:r>
        <w:separator/>
      </w:r>
    </w:p>
  </w:footnote>
  <w:footnote w:type="continuationSeparator" w:id="0">
    <w:p w14:paraId="3A2A93AB" w14:textId="77777777" w:rsidR="00761184" w:rsidRDefault="00761184" w:rsidP="003F3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B5F77"/>
    <w:multiLevelType w:val="hybridMultilevel"/>
    <w:tmpl w:val="67B89E3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907281"/>
    <w:multiLevelType w:val="hybridMultilevel"/>
    <w:tmpl w:val="33ACC2E0"/>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tLAwMzCyNDMxNrNQ0lEKTi0uzszPAykwqgUAzgjJXSwAAAA="/>
  </w:docVars>
  <w:rsids>
    <w:rsidRoot w:val="004F19D7"/>
    <w:rsid w:val="0000341A"/>
    <w:rsid w:val="00033DE3"/>
    <w:rsid w:val="000442FE"/>
    <w:rsid w:val="000763E9"/>
    <w:rsid w:val="000E1110"/>
    <w:rsid w:val="00143501"/>
    <w:rsid w:val="00143A2A"/>
    <w:rsid w:val="001531BA"/>
    <w:rsid w:val="001B59C9"/>
    <w:rsid w:val="001F5086"/>
    <w:rsid w:val="001F6EC9"/>
    <w:rsid w:val="00207F80"/>
    <w:rsid w:val="002710DE"/>
    <w:rsid w:val="002F2E5E"/>
    <w:rsid w:val="0031405A"/>
    <w:rsid w:val="00376306"/>
    <w:rsid w:val="003835F2"/>
    <w:rsid w:val="003A1E82"/>
    <w:rsid w:val="003D48EF"/>
    <w:rsid w:val="003F3FD4"/>
    <w:rsid w:val="004254EF"/>
    <w:rsid w:val="004706E1"/>
    <w:rsid w:val="004C58D5"/>
    <w:rsid w:val="004E676F"/>
    <w:rsid w:val="004F00CA"/>
    <w:rsid w:val="004F19D7"/>
    <w:rsid w:val="00521BFF"/>
    <w:rsid w:val="005717C8"/>
    <w:rsid w:val="00585FE4"/>
    <w:rsid w:val="005C270C"/>
    <w:rsid w:val="005D55C5"/>
    <w:rsid w:val="00621639"/>
    <w:rsid w:val="00634C5D"/>
    <w:rsid w:val="00692734"/>
    <w:rsid w:val="006F12B6"/>
    <w:rsid w:val="007277C0"/>
    <w:rsid w:val="00761184"/>
    <w:rsid w:val="007708A4"/>
    <w:rsid w:val="007C188B"/>
    <w:rsid w:val="007C4461"/>
    <w:rsid w:val="007D455F"/>
    <w:rsid w:val="007F4039"/>
    <w:rsid w:val="00811276"/>
    <w:rsid w:val="0084677D"/>
    <w:rsid w:val="00851000"/>
    <w:rsid w:val="008A695E"/>
    <w:rsid w:val="008C104A"/>
    <w:rsid w:val="009041E1"/>
    <w:rsid w:val="00935277"/>
    <w:rsid w:val="009600C7"/>
    <w:rsid w:val="0098060A"/>
    <w:rsid w:val="0098648F"/>
    <w:rsid w:val="009D7A97"/>
    <w:rsid w:val="00A453EF"/>
    <w:rsid w:val="00AB4502"/>
    <w:rsid w:val="00B35A4A"/>
    <w:rsid w:val="00B646CF"/>
    <w:rsid w:val="00B73E5A"/>
    <w:rsid w:val="00B87026"/>
    <w:rsid w:val="00BC653C"/>
    <w:rsid w:val="00BD2E61"/>
    <w:rsid w:val="00C16DE2"/>
    <w:rsid w:val="00C417D5"/>
    <w:rsid w:val="00C956A4"/>
    <w:rsid w:val="00CD2D8B"/>
    <w:rsid w:val="00CF0D0B"/>
    <w:rsid w:val="00D105EB"/>
    <w:rsid w:val="00D25F91"/>
    <w:rsid w:val="00D65368"/>
    <w:rsid w:val="00D816B8"/>
    <w:rsid w:val="00D83E9F"/>
    <w:rsid w:val="00DC25A2"/>
    <w:rsid w:val="00DC4E48"/>
    <w:rsid w:val="00E0240E"/>
    <w:rsid w:val="00E50322"/>
    <w:rsid w:val="00E5207B"/>
    <w:rsid w:val="00E60CC7"/>
    <w:rsid w:val="00EE023F"/>
    <w:rsid w:val="00EE5045"/>
    <w:rsid w:val="00EE7D73"/>
    <w:rsid w:val="00EF2F34"/>
    <w:rsid w:val="00F1241F"/>
    <w:rsid w:val="00F40ED8"/>
    <w:rsid w:val="00F65C26"/>
    <w:rsid w:val="00F71DC4"/>
    <w:rsid w:val="00F95D0A"/>
    <w:rsid w:val="00F9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B5ED"/>
  <w15:docId w15:val="{2641F05C-D4B1-4E0D-A7D8-B8625594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E60CC7"/>
    <w:pPr>
      <w:keepNext/>
      <w:spacing w:before="240" w:after="60"/>
      <w:jc w:val="left"/>
      <w:outlineLvl w:val="0"/>
    </w:pPr>
    <w:rPr>
      <w:rFonts w:ascii="Arial" w:eastAsia="Cambria" w:hAnsi="Arial"/>
      <w:b/>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3FD4"/>
    <w:pPr>
      <w:tabs>
        <w:tab w:val="center" w:pos="4680"/>
        <w:tab w:val="right" w:pos="9360"/>
      </w:tabs>
    </w:pPr>
  </w:style>
  <w:style w:type="character" w:customStyle="1" w:styleId="HeaderChar">
    <w:name w:val="Header Char"/>
    <w:basedOn w:val="DefaultParagraphFont"/>
    <w:link w:val="Header"/>
    <w:uiPriority w:val="99"/>
    <w:rsid w:val="003F3FD4"/>
    <w:rPr>
      <w:lang w:val="en-GB"/>
    </w:rPr>
  </w:style>
  <w:style w:type="paragraph" w:styleId="Footer">
    <w:name w:val="footer"/>
    <w:basedOn w:val="Normal"/>
    <w:link w:val="FooterChar"/>
    <w:uiPriority w:val="99"/>
    <w:unhideWhenUsed/>
    <w:rsid w:val="003F3FD4"/>
    <w:pPr>
      <w:tabs>
        <w:tab w:val="center" w:pos="4680"/>
        <w:tab w:val="right" w:pos="9360"/>
      </w:tabs>
    </w:pPr>
  </w:style>
  <w:style w:type="character" w:customStyle="1" w:styleId="FooterChar">
    <w:name w:val="Footer Char"/>
    <w:basedOn w:val="DefaultParagraphFont"/>
    <w:link w:val="Footer"/>
    <w:uiPriority w:val="99"/>
    <w:rsid w:val="003F3FD4"/>
    <w:rPr>
      <w:lang w:val="en-GB"/>
    </w:rPr>
  </w:style>
  <w:style w:type="character" w:styleId="Hyperlink">
    <w:name w:val="Hyperlink"/>
    <w:basedOn w:val="DefaultParagraphFont"/>
    <w:uiPriority w:val="99"/>
    <w:unhideWhenUsed/>
    <w:rsid w:val="00E60CC7"/>
    <w:rPr>
      <w:color w:val="0000FF" w:themeColor="hyperlink"/>
      <w:u w:val="single"/>
    </w:rPr>
  </w:style>
  <w:style w:type="character" w:customStyle="1" w:styleId="Heading1Char">
    <w:name w:val="Heading 1 Char"/>
    <w:basedOn w:val="DefaultParagraphFont"/>
    <w:link w:val="Heading1"/>
    <w:rsid w:val="00E60CC7"/>
    <w:rPr>
      <w:rFonts w:ascii="Arial" w:eastAsia="Cambria" w:hAnsi="Arial"/>
      <w:b/>
      <w:kern w:val="32"/>
      <w:sz w:val="32"/>
      <w:szCs w:val="32"/>
    </w:rPr>
  </w:style>
  <w:style w:type="character" w:customStyle="1" w:styleId="contributornametrigger">
    <w:name w:val="contributornametrigger"/>
    <w:basedOn w:val="DefaultParagraphFont"/>
    <w:rsid w:val="00E60CC7"/>
  </w:style>
  <w:style w:type="character" w:customStyle="1" w:styleId="bylinepipe">
    <w:name w:val="bylinepipe"/>
    <w:basedOn w:val="DefaultParagraphFont"/>
    <w:rsid w:val="00E60CC7"/>
  </w:style>
  <w:style w:type="paragraph" w:customStyle="1" w:styleId="HTMLAddress1">
    <w:name w:val="HTML Address1"/>
    <w:rsid w:val="001B59C9"/>
    <w:pPr>
      <w:jc w:val="left"/>
    </w:pPr>
    <w:rPr>
      <w:rFonts w:ascii="Times" w:eastAsia="ヒラギノ角ゴ Pro W3" w:hAnsi="Times"/>
      <w:color w:val="000000"/>
      <w:sz w:val="28"/>
    </w:rPr>
  </w:style>
  <w:style w:type="paragraph" w:styleId="HTMLAddress">
    <w:name w:val="HTML Address"/>
    <w:basedOn w:val="z-TopofForm"/>
    <w:link w:val="HTMLAddressChar"/>
    <w:rsid w:val="008C104A"/>
    <w:pPr>
      <w:pBdr>
        <w:bottom w:val="none" w:sz="0" w:space="0" w:color="auto"/>
      </w:pBdr>
      <w:jc w:val="left"/>
    </w:pPr>
    <w:rPr>
      <w:rFonts w:ascii="Times" w:eastAsia="Times New Roman" w:hAnsi="Times" w:cs="Times New Roman"/>
      <w:vanish w:val="0"/>
      <w:sz w:val="28"/>
      <w:szCs w:val="20"/>
      <w:lang w:val="en-US"/>
    </w:rPr>
  </w:style>
  <w:style w:type="character" w:customStyle="1" w:styleId="HTMLAddressChar">
    <w:name w:val="HTML Address Char"/>
    <w:basedOn w:val="DefaultParagraphFont"/>
    <w:link w:val="HTMLAddress"/>
    <w:rsid w:val="008C104A"/>
    <w:rPr>
      <w:rFonts w:ascii="Times" w:eastAsia="Times New Roman" w:hAnsi="Times"/>
      <w:sz w:val="28"/>
    </w:rPr>
  </w:style>
  <w:style w:type="paragraph" w:styleId="z-TopofForm">
    <w:name w:val="HTML Top of Form"/>
    <w:basedOn w:val="Normal"/>
    <w:next w:val="Normal"/>
    <w:link w:val="z-TopofFormChar"/>
    <w:hidden/>
    <w:uiPriority w:val="99"/>
    <w:semiHidden/>
    <w:unhideWhenUsed/>
    <w:rsid w:val="008C104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C104A"/>
    <w:rPr>
      <w:rFonts w:ascii="Arial" w:hAnsi="Arial" w:cs="Arial"/>
      <w:vanish/>
      <w:sz w:val="16"/>
      <w:szCs w:val="16"/>
      <w:lang w:val="en-GB"/>
    </w:rPr>
  </w:style>
  <w:style w:type="paragraph" w:styleId="BalloonText">
    <w:name w:val="Balloon Text"/>
    <w:basedOn w:val="Normal"/>
    <w:link w:val="BalloonTextChar"/>
    <w:uiPriority w:val="99"/>
    <w:semiHidden/>
    <w:unhideWhenUsed/>
    <w:rsid w:val="001F6EC9"/>
    <w:rPr>
      <w:rFonts w:ascii="Tahoma" w:hAnsi="Tahoma" w:cs="Tahoma"/>
      <w:sz w:val="16"/>
      <w:szCs w:val="16"/>
    </w:rPr>
  </w:style>
  <w:style w:type="character" w:customStyle="1" w:styleId="BalloonTextChar">
    <w:name w:val="Balloon Text Char"/>
    <w:basedOn w:val="DefaultParagraphFont"/>
    <w:link w:val="BalloonText"/>
    <w:uiPriority w:val="99"/>
    <w:semiHidden/>
    <w:rsid w:val="001F6EC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wo.ca/uwocom/mental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ervices.uwo.ca/secure/index.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o.ca/modlang/undergraduate/polici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wo.ca/languages/undergraduate/policies.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solidFill>
                  <a:srgbClr val="002060"/>
                </a:solidFill>
                <a:latin typeface="Garamond" panose="02020404030301010803" pitchFamily="18" charset="0"/>
              </a:rPr>
              <a:t>METHOD OF EVALUATION</a:t>
            </a:r>
          </a:p>
        </c:rich>
      </c:tx>
      <c:overlay val="0"/>
      <c:spPr>
        <a:noFill/>
        <a:ln>
          <a:noFill/>
        </a:ln>
        <a:effectLst/>
      </c:spPr>
    </c:title>
    <c:autoTitleDeleted val="0"/>
    <c:plotArea>
      <c:layout/>
      <c:pieChart>
        <c:varyColors val="1"/>
        <c:ser>
          <c:idx val="0"/>
          <c:order val="0"/>
          <c:tx>
            <c:strRef>
              <c:f>Sheet1!$B$1</c:f>
              <c:strCache>
                <c:ptCount val="1"/>
                <c:pt idx="0">
                  <c:v>METHOD OF EVALUATION</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E990-49AC-A47A-19314684A78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E990-49AC-A47A-19314684A780}"/>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E990-49AC-A47A-19314684A780}"/>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E990-49AC-A47A-19314684A780}"/>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E990-49AC-A47A-19314684A780}"/>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E990-49AC-A47A-19314684A78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OLPA</c:v>
                </c:pt>
                <c:pt idx="1">
                  <c:v>CP</c:v>
                </c:pt>
                <c:pt idx="2">
                  <c:v>IP</c:v>
                </c:pt>
                <c:pt idx="3">
                  <c:v>PP</c:v>
                </c:pt>
                <c:pt idx="4">
                  <c:v>TESTS</c:v>
                </c:pt>
                <c:pt idx="5">
                  <c:v>FINAL EXAM</c:v>
                </c:pt>
              </c:strCache>
            </c:strRef>
          </c:cat>
          <c:val>
            <c:numRef>
              <c:f>Sheet1!$B$2:$B$7</c:f>
              <c:numCache>
                <c:formatCode>General</c:formatCode>
                <c:ptCount val="6"/>
                <c:pt idx="0">
                  <c:v>8</c:v>
                </c:pt>
                <c:pt idx="1">
                  <c:v>10</c:v>
                </c:pt>
                <c:pt idx="2">
                  <c:v>12</c:v>
                </c:pt>
                <c:pt idx="3">
                  <c:v>10</c:v>
                </c:pt>
                <c:pt idx="4">
                  <c:v>30</c:v>
                </c:pt>
                <c:pt idx="5">
                  <c:v>30</c:v>
                </c:pt>
              </c:numCache>
            </c:numRef>
          </c:val>
          <c:extLst>
            <c:ext xmlns:c16="http://schemas.microsoft.com/office/drawing/2014/chart" uri="{C3380CC4-5D6E-409C-BE32-E72D297353CC}">
              <c16:uniqueId val="{00000000-2BC8-4454-B1C2-407D9F841C7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9789B-0B54-C744-B798-34BE759F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Luca Pocci</cp:lastModifiedBy>
  <cp:revision>7</cp:revision>
  <cp:lastPrinted>2017-05-15T16:27:00Z</cp:lastPrinted>
  <dcterms:created xsi:type="dcterms:W3CDTF">2022-05-31T18:34:00Z</dcterms:created>
  <dcterms:modified xsi:type="dcterms:W3CDTF">2022-06-03T13:42:00Z</dcterms:modified>
</cp:coreProperties>
</file>