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04B1" w14:textId="3058801D" w:rsidR="00A0651B" w:rsidRPr="00A0651B" w:rsidRDefault="00EC007D" w:rsidP="00A0651B">
      <w:pPr>
        <w:spacing w:after="0" w:line="240" w:lineRule="auto"/>
        <w:jc w:val="center"/>
        <w:rPr>
          <w:rFonts w:ascii="Titillium Web" w:eastAsia="Titillium Web" w:hAnsi="Titillium Web" w:cs="Titillium Web"/>
          <w:b/>
          <w:sz w:val="20"/>
          <w:szCs w:val="20"/>
          <w:highlight w:val="white"/>
        </w:rPr>
      </w:pPr>
      <w:r w:rsidRPr="00A0651B">
        <w:rPr>
          <w:rFonts w:ascii="Titillium Web" w:eastAsia="Titillium Web" w:hAnsi="Titillium Web" w:cs="Titillium Web"/>
          <w:b/>
          <w:noProof/>
          <w:sz w:val="28"/>
          <w:szCs w:val="28"/>
          <w:highlight w:val="white"/>
        </w:rPr>
        <w:drawing>
          <wp:anchor distT="0" distB="0" distL="114300" distR="114300" simplePos="0" relativeHeight="251668480" behindDoc="1" locked="0" layoutInCell="1" allowOverlap="1" wp14:anchorId="2D557913" wp14:editId="180996D7">
            <wp:simplePos x="0" y="0"/>
            <wp:positionH relativeFrom="margin">
              <wp:align>left</wp:align>
            </wp:positionH>
            <wp:positionV relativeFrom="paragraph">
              <wp:posOffset>-426720</wp:posOffset>
            </wp:positionV>
            <wp:extent cx="2329180" cy="957580"/>
            <wp:effectExtent l="0" t="0" r="0" b="0"/>
            <wp:wrapNone/>
            <wp:docPr id="677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180" cy="95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2C9" w:rsidRPr="006E1664">
        <w:rPr>
          <w:rFonts w:ascii="Titillium Web" w:eastAsia="Titillium Web" w:hAnsi="Titillium Web" w:cs="Titillium Web"/>
          <w:b/>
          <w:noProof/>
          <w:sz w:val="28"/>
          <w:szCs w:val="28"/>
          <w:highlight w:val="white"/>
        </w:rPr>
        <w:drawing>
          <wp:anchor distT="0" distB="0" distL="114300" distR="114300" simplePos="0" relativeHeight="251658240" behindDoc="1" locked="0" layoutInCell="1" allowOverlap="1" wp14:anchorId="7E205750" wp14:editId="5461759F">
            <wp:simplePos x="0" y="0"/>
            <wp:positionH relativeFrom="margin">
              <wp:posOffset>3914775</wp:posOffset>
            </wp:positionH>
            <wp:positionV relativeFrom="paragraph">
              <wp:posOffset>-310515</wp:posOffset>
            </wp:positionV>
            <wp:extent cx="2025650" cy="410845"/>
            <wp:effectExtent l="0" t="0" r="0" b="8255"/>
            <wp:wrapNone/>
            <wp:docPr id="1726409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65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A0FB3" w14:textId="3DF6639E" w:rsidR="00B963A8" w:rsidRPr="00B963A8" w:rsidRDefault="00F331B5" w:rsidP="00FA44FA">
      <w:pPr>
        <w:spacing w:after="0" w:line="240" w:lineRule="auto"/>
        <w:jc w:val="center"/>
        <w:rPr>
          <w:rFonts w:ascii="Rage Italic" w:hAnsi="Rage Italic" w:cs="Arial"/>
          <w:color w:val="002060"/>
          <w:sz w:val="20"/>
          <w:szCs w:val="20"/>
        </w:rPr>
      </w:pPr>
      <w:r w:rsidRPr="008E426E">
        <w:rPr>
          <w:rFonts w:ascii="Arial" w:hAnsi="Arial" w:cs="Arial"/>
          <w:b/>
          <w:bCs/>
          <w:noProof/>
          <w:color w:val="FFFFFF" w:themeColor="background1"/>
          <w:sz w:val="20"/>
          <w:szCs w:val="20"/>
        </w:rPr>
        <w:drawing>
          <wp:anchor distT="0" distB="0" distL="114300" distR="114300" simplePos="0" relativeHeight="251660288" behindDoc="1" locked="0" layoutInCell="1" allowOverlap="1" wp14:anchorId="3ECB032B" wp14:editId="560E174F">
            <wp:simplePos x="0" y="0"/>
            <wp:positionH relativeFrom="margin">
              <wp:posOffset>3917950</wp:posOffset>
            </wp:positionH>
            <wp:positionV relativeFrom="paragraph">
              <wp:posOffset>3810</wp:posOffset>
            </wp:positionV>
            <wp:extent cx="1401445" cy="184150"/>
            <wp:effectExtent l="0" t="0" r="8255" b="6350"/>
            <wp:wrapNone/>
            <wp:docPr id="1025" name="Picture 3" descr="Western Law logo">
              <a:extLst xmlns:a="http://schemas.openxmlformats.org/drawingml/2006/main">
                <a:ext uri="{FF2B5EF4-FFF2-40B4-BE49-F238E27FC236}">
                  <a16:creationId xmlns:a16="http://schemas.microsoft.com/office/drawing/2014/main" id="{71E8449F-59F7-C2FC-325E-BE8E6264E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3" descr="Western Law logo">
                      <a:extLst>
                        <a:ext uri="{FF2B5EF4-FFF2-40B4-BE49-F238E27FC236}">
                          <a16:creationId xmlns:a16="http://schemas.microsoft.com/office/drawing/2014/main" id="{71E8449F-59F7-C2FC-325E-BE8E6264E41C}"/>
                        </a:ext>
                      </a:extLst>
                    </pic:cNvPr>
                    <pic:cNvPicPr>
                      <a:picLocks noChangeAspect="1" noChangeArrowheads="1"/>
                    </pic:cNvPicPr>
                  </pic:nvPicPr>
                  <pic:blipFill>
                    <a:blip r:embed="rId9">
                      <a:alphaModFix/>
                      <a:extLst>
                        <a:ext uri="{28A0092B-C50C-407E-A947-70E740481C1C}">
                          <a14:useLocalDpi xmlns:a14="http://schemas.microsoft.com/office/drawing/2010/main" val="0"/>
                        </a:ext>
                      </a:extLst>
                    </a:blip>
                    <a:srcRect/>
                    <a:stretch>
                      <a:fillRect/>
                    </a:stretch>
                  </pic:blipFill>
                  <pic:spPr bwMode="auto">
                    <a:xfrm>
                      <a:off x="0" y="0"/>
                      <a:ext cx="1401445" cy="184150"/>
                    </a:xfrm>
                    <a:prstGeom prst="rect">
                      <a:avLst/>
                    </a:prstGeom>
                    <a:noFill/>
                  </pic:spPr>
                </pic:pic>
              </a:graphicData>
            </a:graphic>
            <wp14:sizeRelH relativeFrom="page">
              <wp14:pctWidth>0</wp14:pctWidth>
            </wp14:sizeRelH>
            <wp14:sizeRelV relativeFrom="page">
              <wp14:pctHeight>0</wp14:pctHeight>
            </wp14:sizeRelV>
          </wp:anchor>
        </w:drawing>
      </w:r>
    </w:p>
    <w:p w14:paraId="28466C31" w14:textId="6038FDD8" w:rsidR="00BF190C" w:rsidRPr="0007010A" w:rsidRDefault="00B963A8" w:rsidP="00F331B5">
      <w:pPr>
        <w:spacing w:before="240" w:after="0" w:line="240" w:lineRule="auto"/>
        <w:jc w:val="center"/>
        <w:rPr>
          <w:rFonts w:ascii="Titillium Web" w:eastAsia="Titillium Web" w:hAnsi="Titillium Web" w:cs="Titillium Web"/>
          <w:b/>
          <w:sz w:val="76"/>
          <w:szCs w:val="76"/>
          <w:highlight w:val="white"/>
        </w:rPr>
      </w:pPr>
      <w:r w:rsidRPr="0007010A">
        <w:rPr>
          <w:rFonts w:ascii="Rage Italic" w:hAnsi="Rage Italic" w:cs="Arial"/>
          <w:color w:val="002060"/>
          <w:sz w:val="76"/>
          <w:szCs w:val="76"/>
        </w:rPr>
        <w:t>You are Cordially Invited</w:t>
      </w:r>
    </w:p>
    <w:p w14:paraId="6166D134" w14:textId="77777777" w:rsidR="00FA44FA" w:rsidRPr="00F331B5" w:rsidRDefault="00FA44FA" w:rsidP="00FA44FA">
      <w:pPr>
        <w:spacing w:after="0" w:line="240" w:lineRule="auto"/>
        <w:jc w:val="center"/>
        <w:rPr>
          <w:rFonts w:ascii="Titillium Web" w:eastAsia="Titillium Web" w:hAnsi="Titillium Web" w:cs="Titillium Web"/>
          <w:b/>
          <w:sz w:val="4"/>
          <w:szCs w:val="4"/>
          <w:highlight w:val="white"/>
        </w:rPr>
      </w:pPr>
    </w:p>
    <w:p w14:paraId="0DC3A1C7" w14:textId="4BF06BDD" w:rsidR="00CC2A43" w:rsidRPr="00D95AFF" w:rsidRDefault="00CC2A43" w:rsidP="0007010A">
      <w:pPr>
        <w:spacing w:after="60" w:line="240" w:lineRule="auto"/>
        <w:jc w:val="center"/>
        <w:rPr>
          <w:rFonts w:ascii="Titillium Web" w:eastAsia="Titillium Web" w:hAnsi="Titillium Web" w:cs="Titillium Web"/>
          <w:b/>
          <w:sz w:val="24"/>
          <w:szCs w:val="24"/>
          <w:highlight w:val="white"/>
        </w:rPr>
      </w:pPr>
      <w:r w:rsidRPr="00D95AFF">
        <w:rPr>
          <w:rFonts w:ascii="Titillium Web" w:eastAsia="Titillium Web" w:hAnsi="Titillium Web" w:cs="Titillium Web"/>
          <w:b/>
          <w:sz w:val="24"/>
          <w:szCs w:val="24"/>
          <w:highlight w:val="white"/>
        </w:rPr>
        <w:t xml:space="preserve">50th </w:t>
      </w:r>
      <w:r w:rsidR="005E5364" w:rsidRPr="00D95AFF">
        <w:rPr>
          <w:rFonts w:ascii="Titillium Web" w:eastAsia="Titillium Web" w:hAnsi="Titillium Web" w:cs="Titillium Web"/>
          <w:b/>
          <w:sz w:val="24"/>
          <w:szCs w:val="24"/>
          <w:highlight w:val="white"/>
        </w:rPr>
        <w:t xml:space="preserve">Anniversary </w:t>
      </w:r>
      <w:r w:rsidRPr="00D95AFF">
        <w:rPr>
          <w:rFonts w:ascii="Titillium Web" w:eastAsia="Titillium Web" w:hAnsi="Titillium Web" w:cs="Titillium Web"/>
          <w:b/>
          <w:sz w:val="24"/>
          <w:szCs w:val="24"/>
          <w:highlight w:val="white"/>
        </w:rPr>
        <w:t>Conference of</w:t>
      </w:r>
    </w:p>
    <w:p w14:paraId="2521F7FB" w14:textId="4F71AC71" w:rsidR="00CC2A43" w:rsidRPr="00D95AFF" w:rsidRDefault="00CC2A43" w:rsidP="0007010A">
      <w:pPr>
        <w:spacing w:after="60" w:line="240" w:lineRule="auto"/>
        <w:jc w:val="center"/>
        <w:rPr>
          <w:rFonts w:ascii="Titillium Web" w:eastAsia="Titillium Web" w:hAnsi="Titillium Web" w:cs="Titillium Web"/>
          <w:b/>
          <w:sz w:val="24"/>
          <w:szCs w:val="24"/>
          <w:highlight w:val="white"/>
        </w:rPr>
      </w:pPr>
      <w:r w:rsidRPr="00D95AFF">
        <w:rPr>
          <w:rFonts w:ascii="Titillium Web" w:eastAsia="Titillium Web" w:hAnsi="Titillium Web" w:cs="Titillium Web"/>
          <w:b/>
          <w:sz w:val="24"/>
          <w:szCs w:val="24"/>
          <w:highlight w:val="white"/>
        </w:rPr>
        <w:t>The Canada-United States Law Institute</w:t>
      </w:r>
    </w:p>
    <w:p w14:paraId="7E112BF4" w14:textId="77777777" w:rsidR="002F5E4E" w:rsidRPr="00B963A8" w:rsidRDefault="002F5E4E" w:rsidP="0007010A">
      <w:pPr>
        <w:spacing w:after="60" w:line="240" w:lineRule="auto"/>
        <w:jc w:val="center"/>
        <w:rPr>
          <w:rFonts w:ascii="Titillium Web" w:eastAsia="Titillium Web" w:hAnsi="Titillium Web" w:cs="Titillium Web"/>
          <w:b/>
          <w:sz w:val="40"/>
          <w:szCs w:val="40"/>
          <w:u w:val="single"/>
        </w:rPr>
      </w:pPr>
      <w:r w:rsidRPr="00B963A8">
        <w:rPr>
          <w:rFonts w:ascii="Titillium Web" w:eastAsia="Titillium Web" w:hAnsi="Titillium Web" w:cs="Titillium Web"/>
          <w:b/>
          <w:sz w:val="40"/>
          <w:szCs w:val="40"/>
          <w:u w:val="single"/>
        </w:rPr>
        <w:t>The Future of Canada-United States Relations</w:t>
      </w:r>
    </w:p>
    <w:p w14:paraId="7A60E04E" w14:textId="283AA14E" w:rsidR="00550D11" w:rsidRPr="00D95AFF" w:rsidRDefault="00B710BA" w:rsidP="0007010A">
      <w:pPr>
        <w:spacing w:after="60" w:line="240" w:lineRule="auto"/>
        <w:jc w:val="center"/>
        <w:rPr>
          <w:rFonts w:ascii="Titillium Web" w:eastAsia="Titillium Web" w:hAnsi="Titillium Web" w:cs="Titillium Web"/>
          <w:b/>
          <w:sz w:val="24"/>
          <w:szCs w:val="24"/>
          <w:highlight w:val="white"/>
        </w:rPr>
      </w:pPr>
      <w:r w:rsidRPr="00D95AFF">
        <w:rPr>
          <w:rFonts w:ascii="Titillium Web" w:eastAsia="Titillium Web" w:hAnsi="Titillium Web" w:cs="Titillium Web"/>
          <w:b/>
          <w:sz w:val="24"/>
          <w:szCs w:val="24"/>
          <w:highlight w:val="white"/>
        </w:rPr>
        <w:t>Monday</w:t>
      </w:r>
      <w:r w:rsidR="009677F0" w:rsidRPr="00D95AFF">
        <w:rPr>
          <w:rFonts w:ascii="Titillium Web" w:eastAsia="Titillium Web" w:hAnsi="Titillium Web" w:cs="Titillium Web"/>
          <w:b/>
          <w:sz w:val="24"/>
          <w:szCs w:val="24"/>
          <w:highlight w:val="white"/>
        </w:rPr>
        <w:t>,</w:t>
      </w:r>
      <w:r w:rsidR="00CC2A43" w:rsidRPr="00D95AFF">
        <w:rPr>
          <w:rFonts w:ascii="Titillium Web" w:eastAsia="Titillium Web" w:hAnsi="Titillium Web" w:cs="Titillium Web"/>
          <w:b/>
          <w:sz w:val="24"/>
          <w:szCs w:val="24"/>
          <w:highlight w:val="white"/>
        </w:rPr>
        <w:t xml:space="preserve"> </w:t>
      </w:r>
      <w:r w:rsidR="009677F0" w:rsidRPr="00D95AFF">
        <w:rPr>
          <w:rFonts w:ascii="Titillium Web" w:eastAsia="Titillium Web" w:hAnsi="Titillium Web" w:cs="Titillium Web"/>
          <w:b/>
          <w:sz w:val="24"/>
          <w:szCs w:val="24"/>
          <w:highlight w:val="white"/>
        </w:rPr>
        <w:t>May</w:t>
      </w:r>
      <w:r w:rsidR="00CC2A43" w:rsidRPr="00D95AFF">
        <w:rPr>
          <w:rFonts w:ascii="Titillium Web" w:eastAsia="Titillium Web" w:hAnsi="Titillium Web" w:cs="Titillium Web"/>
          <w:b/>
          <w:sz w:val="24"/>
          <w:szCs w:val="24"/>
          <w:highlight w:val="white"/>
        </w:rPr>
        <w:t xml:space="preserve"> 1</w:t>
      </w:r>
      <w:r w:rsidR="009677F0" w:rsidRPr="00D95AFF">
        <w:rPr>
          <w:rFonts w:ascii="Titillium Web" w:eastAsia="Titillium Web" w:hAnsi="Titillium Web" w:cs="Titillium Web"/>
          <w:b/>
          <w:sz w:val="24"/>
          <w:szCs w:val="24"/>
          <w:highlight w:val="white"/>
        </w:rPr>
        <w:t>1</w:t>
      </w:r>
      <w:r w:rsidR="00CC2A43" w:rsidRPr="00D95AFF">
        <w:rPr>
          <w:rFonts w:ascii="Titillium Web" w:eastAsia="Titillium Web" w:hAnsi="Titillium Web" w:cs="Titillium Web"/>
          <w:b/>
          <w:sz w:val="24"/>
          <w:szCs w:val="24"/>
          <w:highlight w:val="white"/>
        </w:rPr>
        <w:t>th, 2026</w:t>
      </w:r>
      <w:r w:rsidR="00B963A8">
        <w:rPr>
          <w:rFonts w:ascii="Titillium Web" w:eastAsia="Titillium Web" w:hAnsi="Titillium Web" w:cs="Titillium Web"/>
          <w:b/>
          <w:sz w:val="24"/>
          <w:szCs w:val="24"/>
          <w:highlight w:val="white"/>
        </w:rPr>
        <w:t xml:space="preserve"> – 8:30 am – 5 pm</w:t>
      </w:r>
    </w:p>
    <w:p w14:paraId="31ABC801" w14:textId="181D622A" w:rsidR="006E1664" w:rsidRDefault="00A0651B" w:rsidP="0007010A">
      <w:pPr>
        <w:spacing w:after="60" w:line="240" w:lineRule="auto"/>
        <w:jc w:val="center"/>
        <w:rPr>
          <w:rFonts w:ascii="Times New Roman" w:eastAsia="Times New Roman" w:hAnsi="Times New Roman" w:cs="Times New Roman"/>
          <w:sz w:val="24"/>
          <w:szCs w:val="24"/>
        </w:rPr>
      </w:pPr>
      <w:r w:rsidRPr="00D95AFF">
        <w:rPr>
          <w:rFonts w:ascii="Titillium Web" w:eastAsia="Titillium Web" w:hAnsi="Titillium Web" w:cs="Titillium Web"/>
          <w:b/>
          <w:sz w:val="24"/>
          <w:szCs w:val="24"/>
          <w:highlight w:val="white"/>
        </w:rPr>
        <w:t>Johns Hopkins University Bloomberg Center</w:t>
      </w:r>
      <w:r w:rsidR="00BF190C">
        <w:rPr>
          <w:rFonts w:ascii="Titillium Web" w:eastAsia="Titillium Web" w:hAnsi="Titillium Web" w:cs="Titillium Web"/>
          <w:b/>
          <w:sz w:val="24"/>
          <w:szCs w:val="24"/>
          <w:highlight w:val="white"/>
        </w:rPr>
        <w:t xml:space="preserve">, </w:t>
      </w:r>
      <w:r w:rsidR="00550D11" w:rsidRPr="00D95AFF">
        <w:rPr>
          <w:rFonts w:ascii="Titillium Web" w:eastAsia="Titillium Web" w:hAnsi="Titillium Web" w:cs="Titillium Web"/>
          <w:b/>
          <w:sz w:val="24"/>
          <w:szCs w:val="24"/>
          <w:highlight w:val="white"/>
        </w:rPr>
        <w:t>Washington DC</w:t>
      </w:r>
      <w:r w:rsidR="006E1664" w:rsidRPr="00D95AFF">
        <w:rPr>
          <w:rFonts w:ascii="Times New Roman" w:eastAsia="Times New Roman" w:hAnsi="Times New Roman" w:cs="Times New Roman"/>
          <w:sz w:val="24"/>
          <w:szCs w:val="24"/>
        </w:rPr>
        <w:t xml:space="preserve"> </w:t>
      </w:r>
    </w:p>
    <w:p w14:paraId="23799D3C" w14:textId="0B91BC00" w:rsidR="00B963A8" w:rsidRPr="00D95AFF" w:rsidRDefault="00B963A8" w:rsidP="0007010A">
      <w:pPr>
        <w:spacing w:after="60" w:line="240" w:lineRule="auto"/>
        <w:jc w:val="center"/>
        <w:rPr>
          <w:rFonts w:ascii="Titillium Web" w:eastAsia="Titillium Web" w:hAnsi="Titillium Web" w:cs="Titillium Web"/>
          <w:b/>
          <w:sz w:val="24"/>
          <w:szCs w:val="24"/>
          <w:highlight w:val="white"/>
        </w:rPr>
      </w:pPr>
      <w:r w:rsidRPr="00B963A8">
        <w:rPr>
          <w:rFonts w:ascii="Titillium Web" w:eastAsia="Titillium Web" w:hAnsi="Titillium Web" w:cs="Titillium Web"/>
          <w:b/>
          <w:sz w:val="24"/>
          <w:szCs w:val="24"/>
          <w:highlight w:val="white"/>
        </w:rPr>
        <w:t>555 Pennsylvania Ave NW, Washington, DC 20001</w:t>
      </w:r>
    </w:p>
    <w:p w14:paraId="57B2D9A8" w14:textId="77777777" w:rsidR="00D95AFF" w:rsidRPr="006C6739" w:rsidRDefault="00D95AFF" w:rsidP="00FA44FA">
      <w:pPr>
        <w:spacing w:after="0" w:line="240" w:lineRule="auto"/>
        <w:rPr>
          <w:sz w:val="12"/>
          <w:szCs w:val="12"/>
        </w:rPr>
      </w:pPr>
    </w:p>
    <w:p w14:paraId="0C510AFE" w14:textId="6D169E1C" w:rsidR="00CC2A43" w:rsidRPr="008B5140" w:rsidRDefault="00CC2A43" w:rsidP="00FA44FA">
      <w:pPr>
        <w:spacing w:after="0" w:line="240" w:lineRule="auto"/>
        <w:rPr>
          <w:sz w:val="21"/>
          <w:szCs w:val="21"/>
        </w:rPr>
      </w:pPr>
      <w:r w:rsidRPr="008B5140">
        <w:rPr>
          <w:sz w:val="21"/>
          <w:szCs w:val="21"/>
        </w:rPr>
        <w:t>The Canada – United States relationship has come under stress recently and there are numerous opinions and perspectives on where it is headed.  This very important relationship</w:t>
      </w:r>
      <w:r w:rsidR="00606381" w:rsidRPr="008B5140">
        <w:rPr>
          <w:sz w:val="21"/>
          <w:szCs w:val="21"/>
        </w:rPr>
        <w:t>, precious</w:t>
      </w:r>
      <w:r w:rsidRPr="008B5140">
        <w:rPr>
          <w:sz w:val="21"/>
          <w:szCs w:val="21"/>
        </w:rPr>
        <w:t xml:space="preserve"> to both countries</w:t>
      </w:r>
      <w:r w:rsidR="00606381" w:rsidRPr="008B5140">
        <w:rPr>
          <w:sz w:val="21"/>
          <w:szCs w:val="21"/>
        </w:rPr>
        <w:t>,</w:t>
      </w:r>
      <w:r w:rsidRPr="008B5140">
        <w:rPr>
          <w:sz w:val="21"/>
          <w:szCs w:val="21"/>
        </w:rPr>
        <w:t xml:space="preserve"> needs to be examined and understood and its value needs to be preserved.  As a result, the Canada – United States Law Institute, which is celebrating 50 years of insight and analysis of the policy and legal issues facing Canada and the United States, will dedicate its annual conference to “</w:t>
      </w:r>
      <w:r w:rsidR="0057394A" w:rsidRPr="008B5140">
        <w:rPr>
          <w:sz w:val="21"/>
          <w:szCs w:val="21"/>
        </w:rPr>
        <w:t>The Future of Canada-United States Relations</w:t>
      </w:r>
      <w:r w:rsidRPr="008B5140">
        <w:rPr>
          <w:sz w:val="21"/>
          <w:szCs w:val="21"/>
        </w:rPr>
        <w:t>.”</w:t>
      </w:r>
    </w:p>
    <w:p w14:paraId="270A29C0" w14:textId="77777777" w:rsidR="00FA44FA" w:rsidRPr="008B5140" w:rsidRDefault="00FA44FA" w:rsidP="00FA44FA">
      <w:pPr>
        <w:spacing w:after="0" w:line="240" w:lineRule="auto"/>
        <w:rPr>
          <w:sz w:val="16"/>
          <w:szCs w:val="16"/>
        </w:rPr>
      </w:pPr>
    </w:p>
    <w:p w14:paraId="4B208A88" w14:textId="63E3D8F1" w:rsidR="00606381" w:rsidRPr="008B5140" w:rsidRDefault="00CC2A43" w:rsidP="00FA44FA">
      <w:pPr>
        <w:spacing w:after="0" w:line="240" w:lineRule="auto"/>
        <w:rPr>
          <w:sz w:val="21"/>
          <w:szCs w:val="21"/>
        </w:rPr>
      </w:pPr>
      <w:r w:rsidRPr="008B5140">
        <w:rPr>
          <w:sz w:val="21"/>
          <w:szCs w:val="21"/>
        </w:rPr>
        <w:t>The all-day conference will include important keynote presentations</w:t>
      </w:r>
      <w:r w:rsidR="00E25C5F" w:rsidRPr="008B5140">
        <w:rPr>
          <w:sz w:val="21"/>
          <w:szCs w:val="21"/>
        </w:rPr>
        <w:t xml:space="preserve"> and</w:t>
      </w:r>
      <w:r w:rsidRPr="008B5140">
        <w:rPr>
          <w:sz w:val="21"/>
          <w:szCs w:val="21"/>
        </w:rPr>
        <w:t xml:space="preserve"> four panels moderated by recognized </w:t>
      </w:r>
      <w:r w:rsidR="009E0479" w:rsidRPr="008B5140">
        <w:rPr>
          <w:sz w:val="21"/>
          <w:szCs w:val="21"/>
        </w:rPr>
        <w:t xml:space="preserve">current and former ambassadors, government officials, and </w:t>
      </w:r>
      <w:r w:rsidRPr="008B5140">
        <w:rPr>
          <w:sz w:val="21"/>
          <w:szCs w:val="21"/>
        </w:rPr>
        <w:t>leaders</w:t>
      </w:r>
      <w:r w:rsidR="00831434" w:rsidRPr="008B5140">
        <w:rPr>
          <w:sz w:val="21"/>
          <w:szCs w:val="21"/>
        </w:rPr>
        <w:t xml:space="preserve"> as well as experts</w:t>
      </w:r>
      <w:r w:rsidRPr="008B5140">
        <w:rPr>
          <w:sz w:val="21"/>
          <w:szCs w:val="21"/>
        </w:rPr>
        <w:t xml:space="preserve"> </w:t>
      </w:r>
      <w:r w:rsidR="00606381" w:rsidRPr="008B5140">
        <w:rPr>
          <w:sz w:val="21"/>
          <w:szCs w:val="21"/>
        </w:rPr>
        <w:t xml:space="preserve">in their fields </w:t>
      </w:r>
      <w:r w:rsidRPr="008B5140">
        <w:rPr>
          <w:sz w:val="21"/>
          <w:szCs w:val="21"/>
        </w:rPr>
        <w:t xml:space="preserve">as panelists. </w:t>
      </w:r>
      <w:r w:rsidR="00606381" w:rsidRPr="008B5140">
        <w:rPr>
          <w:sz w:val="21"/>
          <w:szCs w:val="21"/>
        </w:rPr>
        <w:t xml:space="preserve"> </w:t>
      </w:r>
      <w:r w:rsidR="00B963A8" w:rsidRPr="008B5140">
        <w:rPr>
          <w:sz w:val="21"/>
          <w:szCs w:val="21"/>
        </w:rPr>
        <w:t>Highlighted speakers, presenters and panelists include:</w:t>
      </w:r>
    </w:p>
    <w:p w14:paraId="39C84D62" w14:textId="77777777" w:rsidR="00B963A8" w:rsidRPr="008B5140" w:rsidRDefault="00B963A8" w:rsidP="00FA44FA">
      <w:pPr>
        <w:spacing w:after="0" w:line="240" w:lineRule="auto"/>
        <w:rPr>
          <w:sz w:val="12"/>
          <w:szCs w:val="12"/>
        </w:rPr>
      </w:pPr>
    </w:p>
    <w:p w14:paraId="7A53E1F6" w14:textId="77777777" w:rsidR="00294DBF" w:rsidRPr="00294DBF" w:rsidRDefault="00294DBF" w:rsidP="00294DBF">
      <w:pPr>
        <w:pStyle w:val="ListParagraph"/>
        <w:numPr>
          <w:ilvl w:val="0"/>
          <w:numId w:val="1"/>
        </w:numPr>
        <w:shd w:val="clear" w:color="auto" w:fill="FFFFFF"/>
        <w:spacing w:after="0" w:line="240" w:lineRule="auto"/>
        <w:rPr>
          <w:rFonts w:ascii="Calibri" w:hAnsi="Calibri" w:cs="Calibri"/>
          <w:sz w:val="21"/>
          <w:szCs w:val="21"/>
        </w:rPr>
      </w:pPr>
      <w:r w:rsidRPr="00294DBF">
        <w:rPr>
          <w:rFonts w:ascii="Calibri" w:hAnsi="Calibri" w:cs="Calibri"/>
          <w:sz w:val="21"/>
          <w:szCs w:val="21"/>
        </w:rPr>
        <w:t>Mark D. Wiseman, Ambassador of Canada to the United States</w:t>
      </w:r>
    </w:p>
    <w:p w14:paraId="418823E5" w14:textId="70BFA526"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Hon. David Cohen, Former United States Ambassador to Canada</w:t>
      </w:r>
    </w:p>
    <w:p w14:paraId="53C729E8" w14:textId="497008D5"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Hon. David Jacobson, Former United States Ambassador to Canada</w:t>
      </w:r>
    </w:p>
    <w:p w14:paraId="797280EA" w14:textId="239AAF0E"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Hon. James Blanchard, Former United States Ambassador to Canada and Governor of Michigan</w:t>
      </w:r>
    </w:p>
    <w:p w14:paraId="31C63A82" w14:textId="77777777" w:rsidR="00294DBF" w:rsidRPr="00294DBF" w:rsidRDefault="00294DBF" w:rsidP="00294DBF">
      <w:pPr>
        <w:pStyle w:val="ListParagraph"/>
        <w:numPr>
          <w:ilvl w:val="0"/>
          <w:numId w:val="1"/>
        </w:numPr>
        <w:shd w:val="clear" w:color="auto" w:fill="FFFFFF"/>
        <w:spacing w:after="0" w:line="240" w:lineRule="auto"/>
        <w:rPr>
          <w:rFonts w:ascii="Calibri" w:hAnsi="Calibri" w:cs="Calibri"/>
          <w:sz w:val="21"/>
          <w:szCs w:val="21"/>
        </w:rPr>
      </w:pPr>
      <w:r w:rsidRPr="00294DBF">
        <w:rPr>
          <w:rFonts w:ascii="Calibri" w:hAnsi="Calibri" w:cs="Calibri"/>
          <w:sz w:val="21"/>
          <w:szCs w:val="21"/>
        </w:rPr>
        <w:t>Colin Bird, Consul General of Canada in Detroit, Michigan</w:t>
      </w:r>
    </w:p>
    <w:p w14:paraId="72C1DDC7" w14:textId="4DC2F154"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Hon. Peter MacKay, Canada’s Former Minister of Justice, Foreign Affairs, and National Defence</w:t>
      </w:r>
    </w:p>
    <w:p w14:paraId="03533977" w14:textId="1BE0089F"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Charlie Dent, Former United States Representative from Pennsylvania</w:t>
      </w:r>
    </w:p>
    <w:p w14:paraId="64592D6C" w14:textId="78330929"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 xml:space="preserve">Donald Bacon, United States Representative </w:t>
      </w:r>
      <w:r w:rsidR="008B5140" w:rsidRPr="008B5140">
        <w:rPr>
          <w:rFonts w:ascii="Calibri" w:hAnsi="Calibri" w:cs="Calibri"/>
          <w:sz w:val="21"/>
          <w:szCs w:val="21"/>
        </w:rPr>
        <w:t>from</w:t>
      </w:r>
      <w:r w:rsidRPr="008B5140">
        <w:rPr>
          <w:rFonts w:ascii="Calibri" w:hAnsi="Calibri" w:cs="Calibri"/>
          <w:sz w:val="21"/>
          <w:szCs w:val="21"/>
        </w:rPr>
        <w:t xml:space="preserve"> Nebraska</w:t>
      </w:r>
    </w:p>
    <w:p w14:paraId="5F4F21F6" w14:textId="594F6A41" w:rsidR="008B5140" w:rsidRPr="008B5140" w:rsidRDefault="008B5140"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Fred Upton, Former United States Representative from Michigan</w:t>
      </w:r>
    </w:p>
    <w:p w14:paraId="0BD882AA" w14:textId="1DC2BF71" w:rsidR="008B5140" w:rsidRPr="008B5140" w:rsidRDefault="008B5140"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Stephen DeBoer, Former Canadian Representative to the World Trade Organization</w:t>
      </w:r>
    </w:p>
    <w:p w14:paraId="77002592" w14:textId="7A8904DD" w:rsidR="00F331B5" w:rsidRPr="008B5140" w:rsidRDefault="00F331B5" w:rsidP="00F331B5">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Thomas Lawson, Retired Canadian Air Force General and Deputy Commander of NORAD</w:t>
      </w:r>
    </w:p>
    <w:p w14:paraId="03A4BDA5" w14:textId="00209BB4" w:rsidR="008B5140" w:rsidRPr="008B5140" w:rsidRDefault="008B5140" w:rsidP="00F331B5">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 xml:space="preserve">Martha Hall Findlay, </w:t>
      </w:r>
      <w:r w:rsidR="00546AE4" w:rsidRPr="00546AE4">
        <w:rPr>
          <w:rFonts w:ascii="Calibri" w:hAnsi="Calibri" w:cs="Calibri"/>
          <w:sz w:val="21"/>
          <w:szCs w:val="21"/>
        </w:rPr>
        <w:t xml:space="preserve">Professor of Law, The School of Public Policy, University of Calgary, </w:t>
      </w:r>
      <w:r w:rsidR="00546AE4">
        <w:rPr>
          <w:rFonts w:ascii="Calibri" w:hAnsi="Calibri" w:cs="Calibri"/>
          <w:sz w:val="21"/>
          <w:szCs w:val="21"/>
        </w:rPr>
        <w:t>F</w:t>
      </w:r>
      <w:r w:rsidR="00546AE4" w:rsidRPr="00546AE4">
        <w:rPr>
          <w:rFonts w:ascii="Calibri" w:hAnsi="Calibri" w:cs="Calibri"/>
          <w:sz w:val="21"/>
          <w:szCs w:val="21"/>
        </w:rPr>
        <w:t xml:space="preserve">ormer </w:t>
      </w:r>
      <w:r w:rsidR="00546AE4">
        <w:rPr>
          <w:rFonts w:ascii="Calibri" w:hAnsi="Calibri" w:cs="Calibri"/>
          <w:sz w:val="21"/>
          <w:szCs w:val="21"/>
        </w:rPr>
        <w:t>M</w:t>
      </w:r>
      <w:r w:rsidR="00546AE4" w:rsidRPr="00546AE4">
        <w:rPr>
          <w:rFonts w:ascii="Calibri" w:hAnsi="Calibri" w:cs="Calibri"/>
          <w:sz w:val="21"/>
          <w:szCs w:val="21"/>
        </w:rPr>
        <w:t>ember of the Canadian Parliament, and Former Chief Sustainability Officer and Chief Climate Officer, Suncor Energy</w:t>
      </w:r>
    </w:p>
    <w:p w14:paraId="520A6420" w14:textId="71B2E4CB"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Christopher Sands, Director, Senior Research Professor, Johns Hopkins University</w:t>
      </w:r>
    </w:p>
    <w:p w14:paraId="75B4B16A" w14:textId="14FBA3D4"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Beth Burke, CEO, Canadian American Business Council</w:t>
      </w:r>
    </w:p>
    <w:p w14:paraId="0C177FF3" w14:textId="4281428F" w:rsidR="00F331B5" w:rsidRPr="008B5140" w:rsidRDefault="00F331B5" w:rsidP="00F331B5">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Ian Sheldon, Andersons Chair in Agricultural Marketing, Trade and Policy, Ohio State University</w:t>
      </w:r>
    </w:p>
    <w:p w14:paraId="5CE94C88" w14:textId="7BE23C8F"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 xml:space="preserve">Diane Francis, </w:t>
      </w:r>
      <w:r w:rsidR="008B5140" w:rsidRPr="008B5140">
        <w:rPr>
          <w:rFonts w:ascii="Calibri" w:hAnsi="Calibri" w:cs="Calibri"/>
          <w:sz w:val="21"/>
          <w:szCs w:val="21"/>
        </w:rPr>
        <w:t xml:space="preserve">Editor-at-Large for </w:t>
      </w:r>
      <w:r w:rsidRPr="008B5140">
        <w:rPr>
          <w:rFonts w:ascii="Calibri" w:hAnsi="Calibri" w:cs="Calibri"/>
          <w:sz w:val="21"/>
          <w:szCs w:val="21"/>
        </w:rPr>
        <w:t>National Post</w:t>
      </w:r>
    </w:p>
    <w:p w14:paraId="071F7BC7" w14:textId="6091AFF5"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 xml:space="preserve">Josh Rogin, </w:t>
      </w:r>
      <w:r w:rsidR="008B5140" w:rsidRPr="008B5140">
        <w:rPr>
          <w:rFonts w:ascii="Calibri" w:hAnsi="Calibri" w:cs="Calibri"/>
          <w:sz w:val="21"/>
          <w:szCs w:val="21"/>
        </w:rPr>
        <w:t xml:space="preserve">Lead Global Security Analyst for </w:t>
      </w:r>
      <w:r w:rsidRPr="008B5140">
        <w:rPr>
          <w:rFonts w:ascii="Calibri" w:hAnsi="Calibri" w:cs="Calibri"/>
          <w:sz w:val="21"/>
          <w:szCs w:val="21"/>
        </w:rPr>
        <w:t>Washington Post</w:t>
      </w:r>
    </w:p>
    <w:p w14:paraId="6915C68C" w14:textId="3CD46049" w:rsidR="00FA44FA" w:rsidRPr="008B5140" w:rsidRDefault="00FA44FA" w:rsidP="00FA44FA">
      <w:pPr>
        <w:pStyle w:val="ListParagraph"/>
        <w:numPr>
          <w:ilvl w:val="0"/>
          <w:numId w:val="1"/>
        </w:numPr>
        <w:spacing w:after="0" w:line="240" w:lineRule="auto"/>
        <w:rPr>
          <w:rFonts w:ascii="Calibri" w:hAnsi="Calibri" w:cs="Calibri"/>
          <w:sz w:val="21"/>
          <w:szCs w:val="21"/>
        </w:rPr>
      </w:pPr>
      <w:r w:rsidRPr="008B5140">
        <w:rPr>
          <w:rFonts w:ascii="Calibri" w:hAnsi="Calibri" w:cs="Calibri"/>
          <w:sz w:val="21"/>
          <w:szCs w:val="21"/>
        </w:rPr>
        <w:t xml:space="preserve">Todd Spangler, </w:t>
      </w:r>
      <w:r w:rsidR="008B5140" w:rsidRPr="008B5140">
        <w:rPr>
          <w:rFonts w:ascii="Calibri" w:hAnsi="Calibri" w:cs="Calibri"/>
          <w:sz w:val="21"/>
          <w:szCs w:val="21"/>
        </w:rPr>
        <w:t xml:space="preserve">Washington Correspondent for </w:t>
      </w:r>
      <w:r w:rsidRPr="008B5140">
        <w:rPr>
          <w:rFonts w:ascii="Calibri" w:hAnsi="Calibri" w:cs="Calibri"/>
          <w:sz w:val="21"/>
          <w:szCs w:val="21"/>
        </w:rPr>
        <w:t>Detroit Free Press</w:t>
      </w:r>
    </w:p>
    <w:p w14:paraId="1AE59D2D" w14:textId="77777777" w:rsidR="00B963A8" w:rsidRPr="00F331B5" w:rsidRDefault="00B963A8" w:rsidP="00FA44FA">
      <w:pPr>
        <w:spacing w:after="0" w:line="240" w:lineRule="auto"/>
        <w:rPr>
          <w:sz w:val="12"/>
          <w:szCs w:val="12"/>
        </w:rPr>
      </w:pPr>
    </w:p>
    <w:p w14:paraId="79F80788" w14:textId="45694BDF" w:rsidR="00B963A8" w:rsidRPr="0007010A" w:rsidRDefault="00B963A8" w:rsidP="0007010A">
      <w:pPr>
        <w:spacing w:after="0" w:line="240" w:lineRule="auto"/>
        <w:jc w:val="center"/>
        <w:rPr>
          <w:rFonts w:ascii="Titillium Web" w:eastAsia="Titillium Web" w:hAnsi="Titillium Web" w:cs="Titillium Web"/>
          <w:b/>
          <w:sz w:val="56"/>
          <w:szCs w:val="56"/>
          <w:highlight w:val="white"/>
        </w:rPr>
      </w:pPr>
      <w:hyperlink r:id="rId10" w:history="1">
        <w:r w:rsidRPr="0007010A">
          <w:rPr>
            <w:rStyle w:val="Hyperlink"/>
            <w:rFonts w:ascii="Rage Italic" w:hAnsi="Rage Italic" w:cs="Arial"/>
            <w:color w:val="002060"/>
            <w:sz w:val="56"/>
            <w:szCs w:val="56"/>
            <w:u w:val="none"/>
          </w:rPr>
          <w:t>Click Here to Register Today!</w:t>
        </w:r>
      </w:hyperlink>
    </w:p>
    <w:p w14:paraId="2E4A8D9C" w14:textId="4FF9F598" w:rsidR="00546799" w:rsidRPr="008B5140" w:rsidRDefault="005A5388" w:rsidP="00FA44FA">
      <w:pPr>
        <w:spacing w:after="0" w:line="240" w:lineRule="auto"/>
        <w:rPr>
          <w:sz w:val="16"/>
          <w:szCs w:val="16"/>
        </w:rPr>
      </w:pPr>
      <w:r w:rsidRPr="008B5140">
        <w:rPr>
          <w:noProof/>
          <w:sz w:val="16"/>
          <w:szCs w:val="16"/>
        </w:rPr>
        <w:drawing>
          <wp:anchor distT="0" distB="0" distL="114300" distR="114300" simplePos="0" relativeHeight="251666432" behindDoc="0" locked="0" layoutInCell="1" allowOverlap="1" wp14:anchorId="2211CFB8" wp14:editId="0DAD6561">
            <wp:simplePos x="0" y="0"/>
            <wp:positionH relativeFrom="margin">
              <wp:posOffset>5124450</wp:posOffset>
            </wp:positionH>
            <wp:positionV relativeFrom="paragraph">
              <wp:posOffset>637540</wp:posOffset>
            </wp:positionV>
            <wp:extent cx="818515" cy="229235"/>
            <wp:effectExtent l="0" t="0" r="635" b="0"/>
            <wp:wrapNone/>
            <wp:docPr id="18597351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3514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818515" cy="229235"/>
                    </a:xfrm>
                    <a:prstGeom prst="rect">
                      <a:avLst/>
                    </a:prstGeom>
                  </pic:spPr>
                </pic:pic>
              </a:graphicData>
            </a:graphic>
            <wp14:sizeRelH relativeFrom="page">
              <wp14:pctWidth>0</wp14:pctWidth>
            </wp14:sizeRelH>
            <wp14:sizeRelV relativeFrom="page">
              <wp14:pctHeight>0</wp14:pctHeight>
            </wp14:sizeRelV>
          </wp:anchor>
        </w:drawing>
      </w:r>
      <w:r w:rsidRPr="008B5140">
        <w:rPr>
          <w:noProof/>
          <w:sz w:val="16"/>
          <w:szCs w:val="16"/>
        </w:rPr>
        <w:drawing>
          <wp:anchor distT="0" distB="0" distL="114300" distR="114300" simplePos="0" relativeHeight="251664384" behindDoc="0" locked="0" layoutInCell="1" allowOverlap="1" wp14:anchorId="7786AC61" wp14:editId="57AC3806">
            <wp:simplePos x="0" y="0"/>
            <wp:positionH relativeFrom="margin">
              <wp:posOffset>2406015</wp:posOffset>
            </wp:positionH>
            <wp:positionV relativeFrom="paragraph">
              <wp:posOffset>626745</wp:posOffset>
            </wp:positionV>
            <wp:extent cx="1245870" cy="266065"/>
            <wp:effectExtent l="0" t="0" r="0" b="635"/>
            <wp:wrapNone/>
            <wp:docPr id="326487686" name="Picture 1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87686" name="Picture 12" descr="A close up of a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870"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5140">
        <w:rPr>
          <w:noProof/>
          <w:sz w:val="16"/>
          <w:szCs w:val="16"/>
        </w:rPr>
        <w:drawing>
          <wp:anchor distT="0" distB="0" distL="114300" distR="114300" simplePos="0" relativeHeight="251662336" behindDoc="1" locked="0" layoutInCell="1" allowOverlap="1" wp14:anchorId="29352FBD" wp14:editId="434FA880">
            <wp:simplePos x="0" y="0"/>
            <wp:positionH relativeFrom="margin">
              <wp:posOffset>-190500</wp:posOffset>
            </wp:positionH>
            <wp:positionV relativeFrom="paragraph">
              <wp:posOffset>244475</wp:posOffset>
            </wp:positionV>
            <wp:extent cx="1285240" cy="1143000"/>
            <wp:effectExtent l="0" t="0" r="0" b="0"/>
            <wp:wrapNone/>
            <wp:docPr id="172794024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40246" name="Picture 6" descr="A black background with blue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2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138" w:rsidRPr="008B5140">
        <w:rPr>
          <w:sz w:val="16"/>
          <w:szCs w:val="16"/>
        </w:rPr>
        <w:t xml:space="preserve">The Canada – United States Law Institute is </w:t>
      </w:r>
      <w:r w:rsidR="00A16D80" w:rsidRPr="008B5140">
        <w:rPr>
          <w:sz w:val="16"/>
          <w:szCs w:val="16"/>
        </w:rPr>
        <w:t>a partnership of Case Western Reserve University School of Law and the University of Western Ontario</w:t>
      </w:r>
      <w:r w:rsidR="000E6D11" w:rsidRPr="008B5140">
        <w:rPr>
          <w:sz w:val="16"/>
          <w:szCs w:val="16"/>
        </w:rPr>
        <w:t>, and t</w:t>
      </w:r>
      <w:r w:rsidR="00546799" w:rsidRPr="008B5140">
        <w:rPr>
          <w:sz w:val="16"/>
          <w:szCs w:val="16"/>
        </w:rPr>
        <w:t xml:space="preserve">his conference is presented </w:t>
      </w:r>
      <w:r w:rsidR="002D4C73" w:rsidRPr="008B5140">
        <w:rPr>
          <w:sz w:val="16"/>
          <w:szCs w:val="16"/>
        </w:rPr>
        <w:t xml:space="preserve">with </w:t>
      </w:r>
      <w:r w:rsidR="000E6D11" w:rsidRPr="008B5140">
        <w:rPr>
          <w:sz w:val="16"/>
          <w:szCs w:val="16"/>
        </w:rPr>
        <w:t xml:space="preserve">the support and </w:t>
      </w:r>
      <w:r w:rsidR="00546799" w:rsidRPr="008B5140">
        <w:rPr>
          <w:sz w:val="16"/>
          <w:szCs w:val="16"/>
        </w:rPr>
        <w:t xml:space="preserve">cooperation </w:t>
      </w:r>
      <w:r w:rsidR="000E6D11" w:rsidRPr="008B5140">
        <w:rPr>
          <w:sz w:val="16"/>
          <w:szCs w:val="16"/>
        </w:rPr>
        <w:t xml:space="preserve">of Johns Hopkins </w:t>
      </w:r>
      <w:r w:rsidR="00840CD5" w:rsidRPr="008B5140">
        <w:rPr>
          <w:sz w:val="16"/>
          <w:szCs w:val="16"/>
        </w:rPr>
        <w:t>University School of Advanced International Studies</w:t>
      </w:r>
      <w:r w:rsidR="008B5140" w:rsidRPr="008B5140">
        <w:rPr>
          <w:sz w:val="16"/>
          <w:szCs w:val="16"/>
        </w:rPr>
        <w:t xml:space="preserve"> as well as the Canadian Studies Center at Michigan State University and Dalhousie University.</w:t>
      </w:r>
    </w:p>
    <w:sectPr w:rsidR="00546799" w:rsidRPr="008B5140" w:rsidSect="00F331B5">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9864" w14:textId="77777777" w:rsidR="00F7471E" w:rsidRDefault="00F7471E" w:rsidP="00A0651B">
      <w:pPr>
        <w:spacing w:after="0" w:line="240" w:lineRule="auto"/>
      </w:pPr>
      <w:r>
        <w:separator/>
      </w:r>
    </w:p>
  </w:endnote>
  <w:endnote w:type="continuationSeparator" w:id="0">
    <w:p w14:paraId="7678A825" w14:textId="77777777" w:rsidR="00F7471E" w:rsidRDefault="00F7471E" w:rsidP="00A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D461" w14:textId="77777777" w:rsidR="00306E20" w:rsidRDefault="0030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837E" w14:textId="77777777" w:rsidR="00306E20" w:rsidRDefault="00306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4B9E" w14:textId="77777777" w:rsidR="00306E20" w:rsidRDefault="0030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B784" w14:textId="77777777" w:rsidR="00F7471E" w:rsidRDefault="00F7471E" w:rsidP="00A0651B">
      <w:pPr>
        <w:spacing w:after="0" w:line="240" w:lineRule="auto"/>
      </w:pPr>
      <w:r>
        <w:separator/>
      </w:r>
    </w:p>
  </w:footnote>
  <w:footnote w:type="continuationSeparator" w:id="0">
    <w:p w14:paraId="58A4C37C" w14:textId="77777777" w:rsidR="00F7471E" w:rsidRDefault="00F7471E" w:rsidP="00A0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CEDA" w14:textId="77777777" w:rsidR="00306E20" w:rsidRDefault="0030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72C1" w14:textId="6EEBB98C" w:rsidR="00A0651B" w:rsidRDefault="006E1664" w:rsidP="006E1664">
    <w:pPr>
      <w:pStyle w:val="Header"/>
      <w:tabs>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1576" w14:textId="77777777" w:rsidR="00306E20" w:rsidRDefault="0030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11C5A"/>
    <w:multiLevelType w:val="hybridMultilevel"/>
    <w:tmpl w:val="B35A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32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3"/>
    <w:rsid w:val="00023C41"/>
    <w:rsid w:val="000305D8"/>
    <w:rsid w:val="0007010A"/>
    <w:rsid w:val="000E6D11"/>
    <w:rsid w:val="000F1CFF"/>
    <w:rsid w:val="000F6692"/>
    <w:rsid w:val="001F5FCA"/>
    <w:rsid w:val="00211EA8"/>
    <w:rsid w:val="00235FCD"/>
    <w:rsid w:val="00250566"/>
    <w:rsid w:val="00275830"/>
    <w:rsid w:val="00294DBF"/>
    <w:rsid w:val="002C5153"/>
    <w:rsid w:val="002D4C73"/>
    <w:rsid w:val="002F5E4E"/>
    <w:rsid w:val="00306E20"/>
    <w:rsid w:val="00310C1D"/>
    <w:rsid w:val="00327455"/>
    <w:rsid w:val="003356EB"/>
    <w:rsid w:val="003422CD"/>
    <w:rsid w:val="00347EBD"/>
    <w:rsid w:val="003677E2"/>
    <w:rsid w:val="00380D34"/>
    <w:rsid w:val="003A6B67"/>
    <w:rsid w:val="003E24E7"/>
    <w:rsid w:val="003F5AC3"/>
    <w:rsid w:val="00430EB7"/>
    <w:rsid w:val="004A442B"/>
    <w:rsid w:val="004E348E"/>
    <w:rsid w:val="00510E84"/>
    <w:rsid w:val="00546799"/>
    <w:rsid w:val="00546AE4"/>
    <w:rsid w:val="00550D11"/>
    <w:rsid w:val="0057394A"/>
    <w:rsid w:val="005924E7"/>
    <w:rsid w:val="00594D74"/>
    <w:rsid w:val="005A5388"/>
    <w:rsid w:val="005C5B8B"/>
    <w:rsid w:val="005E5364"/>
    <w:rsid w:val="00606381"/>
    <w:rsid w:val="00612C1A"/>
    <w:rsid w:val="006435B3"/>
    <w:rsid w:val="006A3943"/>
    <w:rsid w:val="006C6739"/>
    <w:rsid w:val="006E1664"/>
    <w:rsid w:val="006F097A"/>
    <w:rsid w:val="0071438F"/>
    <w:rsid w:val="00763EF2"/>
    <w:rsid w:val="00790AF2"/>
    <w:rsid w:val="007A39B0"/>
    <w:rsid w:val="00831434"/>
    <w:rsid w:val="00840CD5"/>
    <w:rsid w:val="00855A0D"/>
    <w:rsid w:val="00883705"/>
    <w:rsid w:val="00887138"/>
    <w:rsid w:val="008938D5"/>
    <w:rsid w:val="008B5140"/>
    <w:rsid w:val="008D1096"/>
    <w:rsid w:val="008F333F"/>
    <w:rsid w:val="00930276"/>
    <w:rsid w:val="009677F0"/>
    <w:rsid w:val="009E0479"/>
    <w:rsid w:val="00A0651B"/>
    <w:rsid w:val="00A16D80"/>
    <w:rsid w:val="00A22A4E"/>
    <w:rsid w:val="00A4748C"/>
    <w:rsid w:val="00A505D1"/>
    <w:rsid w:val="00AD36D8"/>
    <w:rsid w:val="00B710BA"/>
    <w:rsid w:val="00B91B66"/>
    <w:rsid w:val="00B963A8"/>
    <w:rsid w:val="00BF190C"/>
    <w:rsid w:val="00CB69E4"/>
    <w:rsid w:val="00CC2A43"/>
    <w:rsid w:val="00CE7D44"/>
    <w:rsid w:val="00CF4CBD"/>
    <w:rsid w:val="00D95AFF"/>
    <w:rsid w:val="00DC3E7E"/>
    <w:rsid w:val="00E05073"/>
    <w:rsid w:val="00E10870"/>
    <w:rsid w:val="00E25C5F"/>
    <w:rsid w:val="00E8614C"/>
    <w:rsid w:val="00EA56D0"/>
    <w:rsid w:val="00EC007D"/>
    <w:rsid w:val="00EE6C08"/>
    <w:rsid w:val="00F242C9"/>
    <w:rsid w:val="00F331B5"/>
    <w:rsid w:val="00F45399"/>
    <w:rsid w:val="00F7471E"/>
    <w:rsid w:val="00FA44FA"/>
    <w:rsid w:val="00FC7180"/>
    <w:rsid w:val="00FE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8AC50"/>
  <w15:chartTrackingRefBased/>
  <w15:docId w15:val="{9717A4A2-28D2-4341-9EC3-BE0F1677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4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C2A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2A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2A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2A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C2A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C2A4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C2A4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C2A4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C2A4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A43"/>
    <w:rPr>
      <w:rFonts w:eastAsiaTheme="majorEastAsia" w:cstheme="majorBidi"/>
      <w:color w:val="272727" w:themeColor="text1" w:themeTint="D8"/>
    </w:rPr>
  </w:style>
  <w:style w:type="paragraph" w:styleId="Title">
    <w:name w:val="Title"/>
    <w:basedOn w:val="Normal"/>
    <w:next w:val="Normal"/>
    <w:link w:val="TitleChar"/>
    <w:uiPriority w:val="10"/>
    <w:qFormat/>
    <w:rsid w:val="00CC2A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2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A4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2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A4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C2A43"/>
    <w:rPr>
      <w:i/>
      <w:iCs/>
      <w:color w:val="404040" w:themeColor="text1" w:themeTint="BF"/>
    </w:rPr>
  </w:style>
  <w:style w:type="paragraph" w:styleId="ListParagraph">
    <w:name w:val="List Paragraph"/>
    <w:basedOn w:val="Normal"/>
    <w:uiPriority w:val="34"/>
    <w:qFormat/>
    <w:rsid w:val="00CC2A4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C2A43"/>
    <w:rPr>
      <w:i/>
      <w:iCs/>
      <w:color w:val="0F4761" w:themeColor="accent1" w:themeShade="BF"/>
    </w:rPr>
  </w:style>
  <w:style w:type="paragraph" w:styleId="IntenseQuote">
    <w:name w:val="Intense Quote"/>
    <w:basedOn w:val="Normal"/>
    <w:next w:val="Normal"/>
    <w:link w:val="IntenseQuoteChar"/>
    <w:uiPriority w:val="30"/>
    <w:qFormat/>
    <w:rsid w:val="00CC2A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C2A43"/>
    <w:rPr>
      <w:i/>
      <w:iCs/>
      <w:color w:val="0F4761" w:themeColor="accent1" w:themeShade="BF"/>
    </w:rPr>
  </w:style>
  <w:style w:type="character" w:styleId="IntenseReference">
    <w:name w:val="Intense Reference"/>
    <w:basedOn w:val="DefaultParagraphFont"/>
    <w:uiPriority w:val="32"/>
    <w:qFormat/>
    <w:rsid w:val="00CC2A43"/>
    <w:rPr>
      <w:b/>
      <w:bCs/>
      <w:smallCaps/>
      <w:color w:val="0F4761" w:themeColor="accent1" w:themeShade="BF"/>
      <w:spacing w:val="5"/>
    </w:rPr>
  </w:style>
  <w:style w:type="paragraph" w:styleId="Header">
    <w:name w:val="header"/>
    <w:basedOn w:val="Normal"/>
    <w:link w:val="HeaderChar"/>
    <w:uiPriority w:val="99"/>
    <w:unhideWhenUsed/>
    <w:rsid w:val="00A0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1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A0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1B"/>
    <w:rPr>
      <w:rFonts w:ascii="Calibri" w:eastAsia="Calibri" w:hAnsi="Calibri" w:cs="Calibri"/>
      <w:kern w:val="0"/>
      <w:sz w:val="22"/>
      <w:szCs w:val="22"/>
      <w14:ligatures w14:val="none"/>
    </w:rPr>
  </w:style>
  <w:style w:type="paragraph" w:styleId="NormalWeb">
    <w:name w:val="Normal (Web)"/>
    <w:basedOn w:val="Normal"/>
    <w:uiPriority w:val="99"/>
    <w:semiHidden/>
    <w:unhideWhenUsed/>
    <w:rsid w:val="006E1664"/>
    <w:rPr>
      <w:rFonts w:ascii="Times New Roman" w:hAnsi="Times New Roman" w:cs="Times New Roman"/>
      <w:sz w:val="24"/>
      <w:szCs w:val="24"/>
    </w:rPr>
  </w:style>
  <w:style w:type="character" w:styleId="Hyperlink">
    <w:name w:val="Hyperlink"/>
    <w:basedOn w:val="DefaultParagraphFont"/>
    <w:uiPriority w:val="99"/>
    <w:unhideWhenUsed/>
    <w:rsid w:val="00B963A8"/>
    <w:rPr>
      <w:color w:val="467886" w:themeColor="hyperlink"/>
      <w:u w:val="single"/>
    </w:rPr>
  </w:style>
  <w:style w:type="character" w:styleId="UnresolvedMention">
    <w:name w:val="Unresolved Mention"/>
    <w:basedOn w:val="DefaultParagraphFont"/>
    <w:uiPriority w:val="99"/>
    <w:semiHidden/>
    <w:unhideWhenUsed/>
    <w:rsid w:val="00B96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ventbrite.com/e/the-future-of-canada-united-states-relations-tickets-1985464977194?aff=oddtdtcreator&amp;keep_tld=tru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2616</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Petras</dc:creator>
  <cp:keywords/>
  <dc:description/>
  <cp:lastModifiedBy>Stephen Petras</cp:lastModifiedBy>
  <cp:revision>2</cp:revision>
  <dcterms:created xsi:type="dcterms:W3CDTF">2026-04-15T20:38:00Z</dcterms:created>
  <dcterms:modified xsi:type="dcterms:W3CDTF">2026-04-15T20:38:00Z</dcterms:modified>
</cp:coreProperties>
</file>